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53DF1" w:rsidRDefault="002754D0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6732270</wp:posOffset>
                </wp:positionH>
                <wp:positionV relativeFrom="page">
                  <wp:posOffset>2336165</wp:posOffset>
                </wp:positionV>
                <wp:extent cx="671830" cy="6024880"/>
                <wp:effectExtent l="0" t="0" r="0" b="0"/>
                <wp:wrapNone/>
                <wp:docPr id="3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830" cy="602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3DF1" w:rsidRDefault="002754D0">
                            <w:pPr>
                              <w:spacing w:line="1038" w:lineRule="exact"/>
                              <w:ind w:left="20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92"/>
                              </w:rPr>
                              <w:t>PHARMACOLOGY</w:t>
                            </w:r>
                            <w:r>
                              <w:rPr>
                                <w:b/>
                                <w:spacing w:val="-35"/>
                                <w:sz w:val="9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92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530.1pt;margin-top:183.95pt;width:52.9pt;height:474.4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53PrgIAAKwFAAAOAAAAZHJzL2Uyb0RvYy54bWysVG1vmzAQ/j5p/8Hyd8pLCQFUUrUhTJO6&#10;F6nbD3CMCdbAZrYTUk377zubkqatJk3b+GCd7fNz99w93NX1se/QgSnNpShweBFgxASVNRe7An/9&#10;UnkpRtoQUZNOClbgB6bx9ertm6txyFkkW9nVTCEAETofhwK3xgy572vasp7oCzkwAZeNVD0xsFU7&#10;v1ZkBPS+86MgSPxRqnpQkjKt4bScLvHK4TcNo+ZT02hmUFdgyM24Vbl1a1d/dUXynSJDy+ljGuQv&#10;sugJFxD0BFUSQ9Be8VdQPadKatmYCyp7XzYNp8xxADZh8ILNfUsG5rhAcfRwKpP+f7D04+GzQrwu&#10;8GWIkSA99KiWVNvIoa3OOOgcnO4HcDPHW3mELjumeriT9JtGQq5bInbsRik5tozUkJ176Z89nXC0&#10;BdmOH2QNUcjeSAd0bFRvSwfFQIAOXXo4dYYdDaJwmCzD9BJuKFwlQRSnqWudT/L59aC0ecdkj6xR&#10;YAWdd+jkcKcN8ADX2cUGE7LiXee634lnB+A4nUBseGrvbBaumT+yINukmzT24ijZeHFQlt5NtY69&#10;pAqXi/KyXK/L8KeNG8Z5y+uaCRtmFlYY/1njHiU+SeIkLS07Xls4m5JWu+26U+hAQNiV+2y3IPkz&#10;N/95Gu4auLygFEZxcBtlXpWkSy+u4oWXLYPUC8LsNkuCOIvL6jmlOy7Yv1NCY4GzRbSYxPRbboH7&#10;XnMjec8NjI6O9wVOT04ktxLciNq11hDeTfZZKWz6T6WAis2NdoK1Gp3Uao7bI6BYFW9l/QDSVRKU&#10;BSqEeQeGXaMlbEcYHwXW3/dEMYy69wL+ADg2s6FmYzsbRNBWwhQyGE3m2kwzaT8ovmsBfPrHhLyB&#10;v6ThTsBPiUD2dgMjwfF4HF925pzvndfTkF39AgAA//8DAFBLAwQUAAYACAAAACEASsrqVd8AAAAO&#10;AQAADwAAAGRycy9kb3ducmV2LnhtbEyPy2rDMBBF94X+g5hAd43kmCqtYzkUQ+gu0DQfMLFU20QP&#10;11Ji5+87WbW7uczhPsrt7Cy7mjH2wSvIlgKY8U3QvW8VHL92z6/AYkKv0QZvFNxMhG31+FBiocPk&#10;P831kFpGJj4WqKBLaSg4j01nHMZlGIyn33cYHSaSY8v1iBOZO8tXQkjusPeU0OFg6s4058PFKdjf&#10;eDfl7uXY1LXcy/xnh+cPq9TTYn7fAEtmTn8w3OtTdaio0ylcvI7MkhZSrIhVkMv1G7A7kklJ+050&#10;5ZlcA69K/n9G9QsAAP//AwBQSwECLQAUAAYACAAAACEAtoM4kv4AAADhAQAAEwAAAAAAAAAAAAAA&#10;AAAAAAAAW0NvbnRlbnRfVHlwZXNdLnhtbFBLAQItABQABgAIAAAAIQA4/SH/1gAAAJQBAAALAAAA&#10;AAAAAAAAAAAAAC8BAABfcmVscy8ucmVsc1BLAQItABQABgAIAAAAIQAdK53PrgIAAKwFAAAOAAAA&#10;AAAAAAAAAAAAAC4CAABkcnMvZTJvRG9jLnhtbFBLAQItABQABgAIAAAAIQBKyupV3wAAAA4BAAAP&#10;AAAAAAAAAAAAAAAAAAgFAABkcnMvZG93bnJldi54bWxQSwUGAAAAAAQABADzAAAAFAYAAAAA&#10;" filled="f" stroked="f">
                <v:textbox style="layout-flow:vertical;mso-layout-flow-alt:bottom-to-top" inset="0,0,0,0">
                  <w:txbxContent>
                    <w:p w:rsidR="00FB4D3A" w:rsidRDefault="00FB4D3A">
                      <w:pPr>
                        <w:spacing w:line="1038" w:lineRule="exact"/>
                        <w:ind w:left="20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spacing w:val="-4"/>
                          <w:sz w:val="92"/>
                        </w:rPr>
                        <w:t>PHARMACOLOGY</w:t>
                      </w:r>
                      <w:r>
                        <w:rPr>
                          <w:b/>
                          <w:spacing w:val="-35"/>
                          <w:sz w:val="92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92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19"/>
        </w:rPr>
      </w:pPr>
    </w:p>
    <w:p w:rsidR="00C53DF1" w:rsidRDefault="002754D0">
      <w:pPr>
        <w:pStyle w:val="BodyText"/>
        <w:ind w:left="4547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034743" cy="1709927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743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15"/>
        </w:rPr>
      </w:pPr>
    </w:p>
    <w:p w:rsidR="00C53DF1" w:rsidRDefault="002754D0">
      <w:pPr>
        <w:ind w:left="1158" w:right="1173"/>
        <w:jc w:val="center"/>
        <w:rPr>
          <w:b/>
          <w:sz w:val="42"/>
        </w:rPr>
      </w:pPr>
      <w:r>
        <w:rPr>
          <w:b/>
          <w:sz w:val="42"/>
        </w:rPr>
        <w:t>PHARMACY</w:t>
      </w:r>
    </w:p>
    <w:p w:rsidR="00C53DF1" w:rsidRDefault="002754D0">
      <w:pPr>
        <w:pStyle w:val="BodyText"/>
        <w:jc w:val="center"/>
        <w:rPr>
          <w:b/>
          <w:sz w:val="63"/>
        </w:rPr>
      </w:pPr>
      <w:r>
        <w:rPr>
          <w:b/>
          <w:spacing w:val="-2"/>
          <w:sz w:val="42"/>
          <w:szCs w:val="22"/>
        </w:rPr>
        <w:t>INTEGRATED ACADEMIC STUDIES</w:t>
      </w:r>
    </w:p>
    <w:p w:rsidR="00C53DF1" w:rsidRDefault="00C53DF1">
      <w:pPr>
        <w:ind w:left="1158" w:right="1172"/>
        <w:jc w:val="center"/>
        <w:rPr>
          <w:b/>
          <w:sz w:val="34"/>
        </w:rPr>
      </w:pPr>
    </w:p>
    <w:p w:rsidR="00C53DF1" w:rsidRDefault="002754D0">
      <w:pPr>
        <w:ind w:left="1158" w:right="1172"/>
        <w:jc w:val="center"/>
        <w:rPr>
          <w:b/>
          <w:sz w:val="34"/>
        </w:rPr>
      </w:pPr>
      <w:r>
        <w:rPr>
          <w:b/>
          <w:sz w:val="34"/>
        </w:rPr>
        <w:t>THIRD YEAR OF STUDY</w:t>
      </w: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C53DF1">
      <w:pPr>
        <w:pStyle w:val="BodyText"/>
        <w:rPr>
          <w:b/>
          <w:sz w:val="38"/>
        </w:rPr>
      </w:pPr>
    </w:p>
    <w:p w:rsidR="00C53DF1" w:rsidRDefault="002754D0">
      <w:pPr>
        <w:ind w:left="1158" w:right="1170"/>
        <w:jc w:val="center"/>
        <w:rPr>
          <w:sz w:val="34"/>
        </w:rPr>
        <w:sectPr w:rsidR="00C53DF1">
          <w:type w:val="continuous"/>
          <w:pgSz w:w="11910" w:h="16850"/>
          <w:pgMar w:top="1940" w:right="580" w:bottom="280" w:left="740" w:header="720" w:footer="720" w:gutter="0"/>
          <w:cols w:space="720"/>
        </w:sectPr>
      </w:pPr>
      <w:r>
        <w:rPr>
          <w:sz w:val="34"/>
        </w:rPr>
        <w:t>2026/2027</w:t>
      </w:r>
    </w:p>
    <w:p w:rsidR="00C53DF1" w:rsidRDefault="00C53DF1">
      <w:pPr>
        <w:pStyle w:val="BodyText"/>
        <w:spacing w:line="20" w:lineRule="exact"/>
        <w:ind w:left="2406"/>
        <w:rPr>
          <w:sz w:val="2"/>
        </w:rPr>
      </w:pPr>
    </w:p>
    <w:p w:rsidR="00C53DF1" w:rsidRDefault="00C53DF1">
      <w:pPr>
        <w:pStyle w:val="BodyText"/>
        <w:rPr>
          <w:sz w:val="6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</w:pPr>
    </w:p>
    <w:p w:rsidR="00C53DF1" w:rsidRDefault="002754D0">
      <w:pPr>
        <w:ind w:left="1398"/>
        <w:rPr>
          <w:sz w:val="28"/>
        </w:rPr>
      </w:pPr>
      <w:r>
        <w:rPr>
          <w:spacing w:val="-2"/>
          <w:sz w:val="28"/>
        </w:rPr>
        <w:t>Title of the course:</w:t>
      </w:r>
    </w:p>
    <w:p w:rsidR="00C53DF1" w:rsidRDefault="00C53DF1">
      <w:pPr>
        <w:pStyle w:val="BodyText"/>
        <w:rPr>
          <w:sz w:val="20"/>
        </w:rPr>
      </w:pPr>
    </w:p>
    <w:p w:rsidR="00C53DF1" w:rsidRDefault="002754D0">
      <w:pPr>
        <w:ind w:left="1158" w:right="463"/>
        <w:jc w:val="center"/>
        <w:rPr>
          <w:b/>
          <w:sz w:val="40"/>
        </w:rPr>
      </w:pPr>
      <w:r>
        <w:rPr>
          <w:b/>
          <w:sz w:val="40"/>
        </w:rPr>
        <w:t>PHARMACOLOGY 2</w:t>
      </w:r>
    </w:p>
    <w:p w:rsidR="00C53DF1" w:rsidRDefault="00C53DF1">
      <w:pPr>
        <w:pStyle w:val="BodyText"/>
        <w:ind w:left="678" w:right="109"/>
      </w:pPr>
    </w:p>
    <w:p w:rsidR="00C53DF1" w:rsidRDefault="002754D0">
      <w:pPr>
        <w:pStyle w:val="BodyText"/>
        <w:ind w:left="678" w:right="109"/>
      </w:pPr>
      <w:r>
        <w:t xml:space="preserve">This course is assigned 6 ECTS credits. </w:t>
      </w:r>
    </w:p>
    <w:p w:rsidR="00C53DF1" w:rsidRDefault="002754D0">
      <w:pPr>
        <w:pStyle w:val="BodyText"/>
        <w:ind w:left="678" w:right="109"/>
      </w:pPr>
      <w:r>
        <w:t xml:space="preserve">It consists of 3 active </w:t>
      </w:r>
      <w:r>
        <w:t>teaching hours per week: 2 hours of lectures and 1 hour of practical classes.</w:t>
      </w:r>
    </w:p>
    <w:p w:rsidR="00C53DF1" w:rsidRDefault="00C53DF1">
      <w:pPr>
        <w:sectPr w:rsidR="00C53DF1">
          <w:pgSz w:w="11910" w:h="16850"/>
          <w:pgMar w:top="1940" w:right="580" w:bottom="280" w:left="740" w:header="720" w:footer="720" w:gutter="0"/>
          <w:cols w:space="720"/>
        </w:sectPr>
      </w:pPr>
    </w:p>
    <w:p w:rsidR="00C53DF1" w:rsidRDefault="002754D0">
      <w:pPr>
        <w:ind w:left="109"/>
        <w:rPr>
          <w:b/>
          <w:sz w:val="32"/>
        </w:rPr>
      </w:pPr>
      <w:r>
        <w:rPr>
          <w:b/>
          <w:sz w:val="32"/>
        </w:rPr>
        <w:lastRenderedPageBreak/>
        <w:t>TEACHERS:</w:t>
      </w:r>
    </w:p>
    <w:p w:rsidR="00C53DF1" w:rsidRDefault="00C53DF1">
      <w:pPr>
        <w:pStyle w:val="BodyText"/>
        <w:rPr>
          <w:b/>
        </w:rPr>
      </w:pP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"/>
        <w:gridCol w:w="3031"/>
        <w:gridCol w:w="3792"/>
        <w:gridCol w:w="2657"/>
      </w:tblGrid>
      <w:tr w:rsidR="00C53DF1">
        <w:trPr>
          <w:trHeight w:val="551"/>
        </w:trPr>
        <w:tc>
          <w:tcPr>
            <w:tcW w:w="869" w:type="dxa"/>
          </w:tcPr>
          <w:p w:rsidR="00C53DF1" w:rsidRDefault="00C53DF1">
            <w:pPr>
              <w:pStyle w:val="TableParagraph"/>
              <w:spacing w:line="276" w:lineRule="exact"/>
              <w:ind w:left="206" w:right="85" w:hanging="99"/>
              <w:rPr>
                <w:b/>
                <w:sz w:val="24"/>
                <w:szCs w:val="24"/>
              </w:rPr>
            </w:pPr>
          </w:p>
        </w:tc>
        <w:tc>
          <w:tcPr>
            <w:tcW w:w="3031" w:type="dxa"/>
          </w:tcPr>
          <w:p w:rsidR="00C53DF1" w:rsidRDefault="002754D0">
            <w:pPr>
              <w:pStyle w:val="TableParagraph"/>
              <w:ind w:left="13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 and surname</w:t>
            </w:r>
          </w:p>
        </w:tc>
        <w:tc>
          <w:tcPr>
            <w:tcW w:w="3792" w:type="dxa"/>
          </w:tcPr>
          <w:p w:rsidR="00C53DF1" w:rsidRDefault="002754D0">
            <w:pPr>
              <w:pStyle w:val="TableParagraph"/>
              <w:ind w:left="7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2657" w:type="dxa"/>
          </w:tcPr>
          <w:p w:rsidR="00C53DF1" w:rsidRDefault="002754D0">
            <w:pPr>
              <w:pStyle w:val="TableParagraph"/>
              <w:ind w:left="109" w:right="95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Title</w:t>
            </w:r>
          </w:p>
        </w:tc>
      </w:tr>
      <w:tr w:rsidR="00C53DF1">
        <w:trPr>
          <w:trHeight w:val="419"/>
        </w:trPr>
        <w:tc>
          <w:tcPr>
            <w:tcW w:w="869" w:type="dxa"/>
            <w:vAlign w:val="center"/>
          </w:tcPr>
          <w:p w:rsidR="00C53DF1" w:rsidRDefault="002754D0">
            <w:pPr>
              <w:pStyle w:val="TableParagraph"/>
              <w:ind w:left="270" w:right="25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031" w:type="dxa"/>
            <w:vAlign w:val="center"/>
          </w:tcPr>
          <w:p w:rsidR="00C53DF1" w:rsidRDefault="002754D0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 Pejčić</w:t>
            </w:r>
          </w:p>
        </w:tc>
        <w:tc>
          <w:tcPr>
            <w:tcW w:w="3792" w:type="dxa"/>
            <w:vAlign w:val="center"/>
          </w:tcPr>
          <w:p w:rsidR="00C53DF1" w:rsidRDefault="002754D0">
            <w:pPr>
              <w:pStyle w:val="TableParagraph"/>
              <w:ind w:left="106"/>
              <w:rPr>
                <w:sz w:val="24"/>
                <w:szCs w:val="24"/>
              </w:rPr>
            </w:pPr>
            <w:hyperlink r:id="rId9" w:history="1">
              <w:r>
                <w:rPr>
                  <w:rStyle w:val="Hyperlink"/>
                  <w:sz w:val="24"/>
                  <w:szCs w:val="24"/>
                </w:rPr>
                <w:t>anapejcic201502@yahoo.com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7" w:type="dxa"/>
            <w:vAlign w:val="center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Associate Professor</w:t>
            </w:r>
          </w:p>
        </w:tc>
      </w:tr>
      <w:tr w:rsidR="00C53DF1">
        <w:trPr>
          <w:trHeight w:val="419"/>
        </w:trPr>
        <w:tc>
          <w:tcPr>
            <w:tcW w:w="869" w:type="dxa"/>
            <w:vAlign w:val="center"/>
          </w:tcPr>
          <w:p w:rsidR="00C53DF1" w:rsidRDefault="002754D0">
            <w:pPr>
              <w:pStyle w:val="TableParagraph"/>
              <w:ind w:left="270" w:right="25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031" w:type="dxa"/>
            <w:vAlign w:val="center"/>
          </w:tcPr>
          <w:p w:rsidR="00C53DF1" w:rsidRDefault="002754D0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Marina </w:t>
            </w:r>
            <w:r>
              <w:rPr>
                <w:sz w:val="24"/>
                <w:szCs w:val="24"/>
              </w:rPr>
              <w:t>Kostić</w:t>
            </w:r>
          </w:p>
        </w:tc>
        <w:tc>
          <w:tcPr>
            <w:tcW w:w="3792" w:type="dxa"/>
            <w:vAlign w:val="center"/>
          </w:tcPr>
          <w:p w:rsidR="00C53DF1" w:rsidRDefault="002754D0">
            <w:pPr>
              <w:pStyle w:val="TableParagraph"/>
              <w:ind w:left="106"/>
              <w:rPr>
                <w:sz w:val="24"/>
                <w:szCs w:val="24"/>
              </w:rPr>
            </w:pPr>
            <w:hyperlink r:id="rId10" w:history="1">
              <w:r>
                <w:rPr>
                  <w:rStyle w:val="Hyperlink"/>
                  <w:sz w:val="24"/>
                  <w:szCs w:val="24"/>
                </w:rPr>
                <w:t>marrina2006kg@yahoo.com</w:t>
              </w:r>
            </w:hyperlink>
          </w:p>
        </w:tc>
        <w:tc>
          <w:tcPr>
            <w:tcW w:w="2657" w:type="dxa"/>
            <w:vAlign w:val="center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Professor</w:t>
            </w:r>
          </w:p>
        </w:tc>
      </w:tr>
      <w:tr w:rsidR="00C53DF1">
        <w:trPr>
          <w:trHeight w:val="416"/>
        </w:trPr>
        <w:tc>
          <w:tcPr>
            <w:tcW w:w="869" w:type="dxa"/>
            <w:vAlign w:val="center"/>
          </w:tcPr>
          <w:p w:rsidR="00C53DF1" w:rsidRDefault="002754D0">
            <w:pPr>
              <w:pStyle w:val="TableParagraph"/>
              <w:ind w:left="270" w:right="25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031" w:type="dxa"/>
            <w:vAlign w:val="center"/>
          </w:tcPr>
          <w:p w:rsidR="00C53DF1" w:rsidRDefault="002754D0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Radica Živković Zarić</w:t>
            </w:r>
          </w:p>
        </w:tc>
        <w:tc>
          <w:tcPr>
            <w:tcW w:w="3792" w:type="dxa"/>
            <w:vAlign w:val="center"/>
          </w:tcPr>
          <w:p w:rsidR="00C53DF1" w:rsidRDefault="002754D0">
            <w:pPr>
              <w:pStyle w:val="TableParagraph"/>
              <w:ind w:left="106"/>
              <w:rPr>
                <w:sz w:val="24"/>
                <w:szCs w:val="24"/>
              </w:rPr>
            </w:pPr>
            <w:hyperlink r:id="rId11" w:history="1">
              <w:r>
                <w:rPr>
                  <w:rStyle w:val="Hyperlink"/>
                  <w:sz w:val="24"/>
                  <w:szCs w:val="24"/>
                </w:rPr>
                <w:t>radica_zivkovic@yahoo.com</w:t>
              </w:r>
            </w:hyperlink>
          </w:p>
        </w:tc>
        <w:tc>
          <w:tcPr>
            <w:tcW w:w="2657" w:type="dxa"/>
            <w:vAlign w:val="center"/>
          </w:tcPr>
          <w:p w:rsidR="00C53DF1" w:rsidRDefault="002754D0">
            <w:pPr>
              <w:pStyle w:val="TableParagraph"/>
              <w:ind w:left="109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Associate Professor</w:t>
            </w:r>
          </w:p>
        </w:tc>
      </w:tr>
      <w:tr w:rsidR="00C53DF1">
        <w:trPr>
          <w:trHeight w:val="416"/>
        </w:trPr>
        <w:tc>
          <w:tcPr>
            <w:tcW w:w="869" w:type="dxa"/>
            <w:vAlign w:val="center"/>
          </w:tcPr>
          <w:p w:rsidR="00C53DF1" w:rsidRDefault="002754D0">
            <w:pPr>
              <w:pStyle w:val="TableParagraph"/>
              <w:ind w:left="270" w:right="259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4. </w:t>
            </w:r>
          </w:p>
        </w:tc>
        <w:tc>
          <w:tcPr>
            <w:tcW w:w="3031" w:type="dxa"/>
            <w:vAlign w:val="center"/>
          </w:tcPr>
          <w:p w:rsidR="00C53DF1" w:rsidRDefault="002754D0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Miloš Milosavljević</w:t>
            </w:r>
          </w:p>
        </w:tc>
        <w:tc>
          <w:tcPr>
            <w:tcW w:w="3792" w:type="dxa"/>
            <w:vAlign w:val="center"/>
          </w:tcPr>
          <w:p w:rsidR="00C53DF1" w:rsidRDefault="002754D0">
            <w:pPr>
              <w:pStyle w:val="TableParagraph"/>
              <w:ind w:left="106"/>
              <w:rPr>
                <w:sz w:val="24"/>
                <w:szCs w:val="24"/>
              </w:rPr>
            </w:pPr>
            <w:hyperlink r:id="rId12" w:history="1">
              <w:r>
                <w:rPr>
                  <w:rStyle w:val="Hyperlink"/>
                  <w:sz w:val="24"/>
                  <w:szCs w:val="24"/>
                </w:rPr>
                <w:t>milosavljevicmilos91@gmail.com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7" w:type="dxa"/>
            <w:vAlign w:val="center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Associate Professor</w:t>
            </w:r>
          </w:p>
        </w:tc>
      </w:tr>
    </w:tbl>
    <w:p w:rsidR="00C53DF1" w:rsidRDefault="00C53DF1">
      <w:pPr>
        <w:pStyle w:val="BodyText"/>
        <w:rPr>
          <w:b/>
          <w:sz w:val="40"/>
        </w:rPr>
      </w:pPr>
    </w:p>
    <w:p w:rsidR="00C53DF1" w:rsidRDefault="002754D0">
      <w:pPr>
        <w:ind w:left="109"/>
        <w:rPr>
          <w:b/>
          <w:sz w:val="32"/>
        </w:rPr>
      </w:pPr>
      <w:r>
        <w:rPr>
          <w:b/>
          <w:spacing w:val="-2"/>
          <w:sz w:val="32"/>
        </w:rPr>
        <w:t>COURSE STRUCTURE:</w:t>
      </w:r>
    </w:p>
    <w:p w:rsidR="00C53DF1" w:rsidRDefault="00C53DF1">
      <w:pPr>
        <w:pStyle w:val="BodyText"/>
        <w:rPr>
          <w:b/>
          <w:sz w:val="20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2694"/>
        <w:gridCol w:w="1417"/>
        <w:gridCol w:w="1417"/>
        <w:gridCol w:w="1418"/>
        <w:gridCol w:w="2275"/>
      </w:tblGrid>
      <w:tr w:rsidR="00C53DF1">
        <w:trPr>
          <w:trHeight w:val="1060"/>
        </w:trPr>
        <w:tc>
          <w:tcPr>
            <w:tcW w:w="1129" w:type="dxa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121" w:right="1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Module No</w:t>
            </w:r>
          </w:p>
        </w:tc>
        <w:tc>
          <w:tcPr>
            <w:tcW w:w="2694" w:type="dxa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80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1417" w:type="dxa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211" w:right="1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No of weeks</w:t>
            </w:r>
          </w:p>
        </w:tc>
        <w:tc>
          <w:tcPr>
            <w:tcW w:w="1417" w:type="dxa"/>
          </w:tcPr>
          <w:p w:rsidR="00C53DF1" w:rsidRDefault="002754D0">
            <w:pPr>
              <w:pStyle w:val="TableParagraph"/>
              <w:ind w:left="177" w:right="1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Hours of lectures per week</w:t>
            </w:r>
          </w:p>
        </w:tc>
        <w:tc>
          <w:tcPr>
            <w:tcW w:w="1418" w:type="dxa"/>
          </w:tcPr>
          <w:p w:rsidR="00C53DF1" w:rsidRDefault="002754D0">
            <w:pPr>
              <w:pStyle w:val="TableParagraph"/>
              <w:ind w:left="202" w:right="187" w:hanging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Hours of practical classes per week</w:t>
            </w:r>
          </w:p>
        </w:tc>
        <w:tc>
          <w:tcPr>
            <w:tcW w:w="2275" w:type="dxa"/>
          </w:tcPr>
          <w:p w:rsidR="00C53DF1" w:rsidRDefault="002754D0">
            <w:pPr>
              <w:pStyle w:val="TableParagraph"/>
              <w:ind w:left="512" w:right="502" w:firstLine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Responsible teacher</w:t>
            </w:r>
          </w:p>
        </w:tc>
      </w:tr>
      <w:tr w:rsidR="00C53DF1">
        <w:trPr>
          <w:trHeight w:val="853"/>
        </w:trPr>
        <w:tc>
          <w:tcPr>
            <w:tcW w:w="1129" w:type="dxa"/>
            <w:vAlign w:val="center"/>
          </w:tcPr>
          <w:p w:rsidR="00C53DF1" w:rsidRDefault="002754D0">
            <w:pPr>
              <w:pStyle w:val="TableParagraph"/>
              <w:ind w:left="121" w:right="10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:rsidR="00C53DF1" w:rsidRDefault="002754D0">
            <w:pPr>
              <w:pStyle w:val="TableParagraph"/>
              <w:ind w:left="1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Pharmacology 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53DF1" w:rsidRDefault="002754D0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C53DF1" w:rsidRDefault="002754D0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C53DF1" w:rsidRDefault="002754D0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75" w:type="dxa"/>
            <w:vAlign w:val="center"/>
          </w:tcPr>
          <w:p w:rsidR="00C53DF1" w:rsidRDefault="002754D0">
            <w:pPr>
              <w:pStyle w:val="TableParagraph"/>
              <w:ind w:left="108" w:right="9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 Pejčić</w:t>
            </w:r>
          </w:p>
        </w:tc>
      </w:tr>
      <w:tr w:rsidR="00C53DF1">
        <w:trPr>
          <w:trHeight w:val="583"/>
        </w:trPr>
        <w:tc>
          <w:tcPr>
            <w:tcW w:w="10350" w:type="dxa"/>
            <w:gridSpan w:val="6"/>
          </w:tcPr>
          <w:p w:rsidR="00C53DF1" w:rsidRDefault="002754D0">
            <w:pPr>
              <w:pStyle w:val="TableParagraph"/>
              <w:ind w:right="94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Σ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30+15=45</w:t>
            </w:r>
          </w:p>
        </w:tc>
      </w:tr>
    </w:tbl>
    <w:p w:rsidR="00C53DF1" w:rsidRDefault="00C53DF1">
      <w:pPr>
        <w:jc w:val="right"/>
        <w:rPr>
          <w:sz w:val="24"/>
        </w:rPr>
        <w:sectPr w:rsidR="00C53DF1">
          <w:pgSz w:w="11910" w:h="16850"/>
          <w:pgMar w:top="860" w:right="580" w:bottom="280" w:left="740" w:header="720" w:footer="720" w:gutter="0"/>
          <w:cols w:space="720"/>
        </w:sectPr>
      </w:pPr>
    </w:p>
    <w:p w:rsidR="00C53DF1" w:rsidRDefault="002754D0">
      <w:pPr>
        <w:spacing w:line="365" w:lineRule="exact"/>
        <w:ind w:left="395"/>
        <w:rPr>
          <w:b/>
          <w:sz w:val="32"/>
        </w:rPr>
      </w:pPr>
      <w:r>
        <w:rPr>
          <w:b/>
          <w:spacing w:val="-2"/>
          <w:sz w:val="32"/>
        </w:rPr>
        <w:t>GRADING:</w:t>
      </w:r>
    </w:p>
    <w:p w:rsidR="00C53DF1" w:rsidRDefault="00C53DF1">
      <w:pPr>
        <w:pStyle w:val="BodyText"/>
        <w:ind w:left="395"/>
      </w:pPr>
    </w:p>
    <w:p w:rsidR="00C53DF1" w:rsidRDefault="002754D0">
      <w:pPr>
        <w:pStyle w:val="BodyText"/>
        <w:ind w:left="395"/>
      </w:pPr>
      <w:r>
        <w:t>The grade will be equivalent to the number of points achieved (see the table). The points will be awarded according to the following scheme:</w:t>
      </w:r>
    </w:p>
    <w:p w:rsidR="00C53DF1" w:rsidRDefault="00C53DF1">
      <w:pPr>
        <w:pStyle w:val="BodyText"/>
        <w:rPr>
          <w:sz w:val="28"/>
        </w:rPr>
      </w:pPr>
    </w:p>
    <w:p w:rsidR="00C53DF1" w:rsidRDefault="00C53DF1">
      <w:pPr>
        <w:pStyle w:val="BodyText"/>
        <w:rPr>
          <w:sz w:val="8"/>
        </w:rPr>
      </w:pPr>
    </w:p>
    <w:p w:rsidR="00C53DF1" w:rsidRDefault="002754D0">
      <w:pPr>
        <w:ind w:left="395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PRE-EXAM ACTIVITIES:</w:t>
      </w:r>
    </w:p>
    <w:p w:rsidR="00C53DF1" w:rsidRDefault="00C53DF1">
      <w:pPr>
        <w:ind w:left="395"/>
        <w:outlineLvl w:val="0"/>
        <w:rPr>
          <w:b/>
          <w:bCs/>
          <w:sz w:val="28"/>
          <w:szCs w:val="28"/>
        </w:rPr>
      </w:pPr>
    </w:p>
    <w:p w:rsidR="00C53DF1" w:rsidRDefault="002754D0">
      <w:pPr>
        <w:ind w:left="395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Based on participation in classes and demonstrated knowledge during exercises, a student can earn up to 2 points per class. In this way, a </w:t>
      </w:r>
      <w:r>
        <w:rPr>
          <w:bCs/>
          <w:sz w:val="24"/>
          <w:szCs w:val="24"/>
          <w:u w:val="single"/>
        </w:rPr>
        <w:t>maximum of 30 points</w:t>
      </w:r>
      <w:r>
        <w:rPr>
          <w:bCs/>
          <w:sz w:val="24"/>
          <w:szCs w:val="24"/>
        </w:rPr>
        <w:t xml:space="preserve"> can be earned.</w:t>
      </w:r>
    </w:p>
    <w:p w:rsidR="00C53DF1" w:rsidRDefault="00C53DF1">
      <w:pPr>
        <w:ind w:left="395"/>
        <w:outlineLvl w:val="0"/>
        <w:rPr>
          <w:b/>
          <w:bCs/>
          <w:sz w:val="28"/>
          <w:szCs w:val="28"/>
        </w:rPr>
      </w:pPr>
    </w:p>
    <w:p w:rsidR="00C53DF1" w:rsidRDefault="002754D0">
      <w:pPr>
        <w:ind w:left="395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FINAL EXAM:</w:t>
      </w:r>
    </w:p>
    <w:p w:rsidR="00C53DF1" w:rsidRDefault="00C53DF1">
      <w:pPr>
        <w:ind w:left="395"/>
        <w:rPr>
          <w:sz w:val="24"/>
          <w:szCs w:val="24"/>
        </w:rPr>
      </w:pPr>
    </w:p>
    <w:p w:rsidR="00C53DF1" w:rsidRDefault="002754D0">
      <w:pPr>
        <w:ind w:left="395"/>
        <w:rPr>
          <w:sz w:val="24"/>
          <w:szCs w:val="24"/>
        </w:rPr>
      </w:pPr>
      <w:r>
        <w:rPr>
          <w:sz w:val="24"/>
          <w:szCs w:val="24"/>
        </w:rPr>
        <w:t xml:space="preserve">The student has the right to take the final exam only if they have previously earned more than 50% of the maximum number of points allocated for pre-exam activities, i.e., </w:t>
      </w:r>
      <w:r>
        <w:rPr>
          <w:sz w:val="24"/>
          <w:szCs w:val="24"/>
          <w:u w:val="single"/>
        </w:rPr>
        <w:t>at least 16 points for class participation</w:t>
      </w:r>
      <w:r>
        <w:rPr>
          <w:sz w:val="24"/>
          <w:szCs w:val="24"/>
        </w:rPr>
        <w:t>.</w:t>
      </w:r>
    </w:p>
    <w:p w:rsidR="00C53DF1" w:rsidRDefault="00C53DF1">
      <w:pPr>
        <w:ind w:left="395"/>
        <w:rPr>
          <w:sz w:val="24"/>
          <w:szCs w:val="24"/>
        </w:rPr>
      </w:pPr>
    </w:p>
    <w:p w:rsidR="00C53DF1" w:rsidRDefault="002754D0">
      <w:pPr>
        <w:ind w:left="395"/>
        <w:rPr>
          <w:sz w:val="24"/>
          <w:szCs w:val="24"/>
          <w:u w:val="single"/>
        </w:rPr>
      </w:pPr>
      <w:r>
        <w:rPr>
          <w:sz w:val="24"/>
          <w:szCs w:val="24"/>
        </w:rPr>
        <w:t>The final written exam includes answeri</w:t>
      </w:r>
      <w:r>
        <w:rPr>
          <w:sz w:val="24"/>
          <w:szCs w:val="24"/>
        </w:rPr>
        <w:t xml:space="preserve">ng questions based on the material covered in the entire course, as follows: 35 multiple-choice or fill-in-the-blank questions, each worth 2 points − </w:t>
      </w:r>
      <w:r>
        <w:rPr>
          <w:sz w:val="24"/>
          <w:szCs w:val="24"/>
          <w:u w:val="single"/>
        </w:rPr>
        <w:t xml:space="preserve">up to 70 points can be earned in this section. </w:t>
      </w:r>
    </w:p>
    <w:p w:rsidR="00C53DF1" w:rsidRDefault="00C53DF1">
      <w:pPr>
        <w:ind w:left="395"/>
        <w:rPr>
          <w:sz w:val="24"/>
          <w:szCs w:val="24"/>
        </w:rPr>
      </w:pPr>
    </w:p>
    <w:p w:rsidR="00C53DF1" w:rsidRDefault="002754D0">
      <w:pPr>
        <w:ind w:left="395"/>
        <w:rPr>
          <w:sz w:val="24"/>
          <w:szCs w:val="24"/>
          <w:u w:val="single"/>
        </w:rPr>
      </w:pPr>
      <w:r>
        <w:rPr>
          <w:sz w:val="24"/>
          <w:szCs w:val="24"/>
        </w:rPr>
        <w:t>To pass the final exam, a student must earn more than 50%</w:t>
      </w:r>
      <w:r>
        <w:rPr>
          <w:sz w:val="24"/>
          <w:szCs w:val="24"/>
        </w:rPr>
        <w:t xml:space="preserve"> of the total points, which means </w:t>
      </w:r>
      <w:r>
        <w:rPr>
          <w:sz w:val="24"/>
          <w:szCs w:val="24"/>
          <w:u w:val="single"/>
        </w:rPr>
        <w:t>at least 36 out of a maximum of 70 points.</w:t>
      </w:r>
    </w:p>
    <w:p w:rsidR="00C53DF1" w:rsidRDefault="00C53DF1">
      <w:pPr>
        <w:ind w:left="1115"/>
        <w:rPr>
          <w:sz w:val="28"/>
        </w:rPr>
      </w:pPr>
    </w:p>
    <w:p w:rsidR="00C53DF1" w:rsidRDefault="002754D0">
      <w:pPr>
        <w:ind w:left="395"/>
        <w:rPr>
          <w:b/>
          <w:sz w:val="28"/>
          <w:szCs w:val="28"/>
        </w:rPr>
      </w:pPr>
      <w:r>
        <w:rPr>
          <w:b/>
          <w:sz w:val="28"/>
          <w:szCs w:val="28"/>
        </w:rPr>
        <w:t>FINAL GRADE</w:t>
      </w:r>
    </w:p>
    <w:p w:rsidR="00C53DF1" w:rsidRDefault="00C53DF1">
      <w:pPr>
        <w:ind w:left="395"/>
        <w:rPr>
          <w:sz w:val="24"/>
          <w:szCs w:val="24"/>
        </w:rPr>
      </w:pPr>
    </w:p>
    <w:p w:rsidR="00C53DF1" w:rsidRDefault="002754D0">
      <w:pPr>
        <w:ind w:left="395"/>
        <w:rPr>
          <w:sz w:val="24"/>
          <w:szCs w:val="24"/>
        </w:rPr>
      </w:pPr>
      <w:r>
        <w:rPr>
          <w:sz w:val="24"/>
          <w:szCs w:val="24"/>
        </w:rPr>
        <w:t>The final grade will be formed according to the following table:</w:t>
      </w:r>
    </w:p>
    <w:p w:rsidR="00C53DF1" w:rsidRDefault="00C53DF1">
      <w:pPr>
        <w:pStyle w:val="BodyText"/>
        <w:ind w:left="395"/>
      </w:pPr>
    </w:p>
    <w:p w:rsidR="00C53DF1" w:rsidRDefault="00C53DF1">
      <w:pPr>
        <w:pStyle w:val="BodyText"/>
        <w:rPr>
          <w:sz w:val="16"/>
        </w:r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4"/>
        <w:gridCol w:w="3355"/>
        <w:gridCol w:w="3355"/>
      </w:tblGrid>
      <w:tr w:rsidR="00C53DF1">
        <w:trPr>
          <w:trHeight w:val="275"/>
        </w:trPr>
        <w:tc>
          <w:tcPr>
            <w:tcW w:w="10064" w:type="dxa"/>
            <w:gridSpan w:val="3"/>
          </w:tcPr>
          <w:p w:rsidR="00C53DF1" w:rsidRDefault="002754D0">
            <w:pPr>
              <w:pStyle w:val="TableParagraph"/>
              <w:spacing w:line="256" w:lineRule="exact"/>
              <w:ind w:left="108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Grading system</w:t>
            </w:r>
          </w:p>
        </w:tc>
      </w:tr>
      <w:tr w:rsidR="00C53DF1">
        <w:trPr>
          <w:trHeight w:val="275"/>
        </w:trPr>
        <w:tc>
          <w:tcPr>
            <w:tcW w:w="3354" w:type="dxa"/>
            <w:vAlign w:val="center"/>
          </w:tcPr>
          <w:p w:rsidR="00C53DF1" w:rsidRDefault="002754D0">
            <w:pPr>
              <w:pStyle w:val="TableParagraph"/>
              <w:spacing w:line="256" w:lineRule="exact"/>
              <w:ind w:left="254" w:right="25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</w:t>
            </w:r>
          </w:p>
        </w:tc>
        <w:tc>
          <w:tcPr>
            <w:tcW w:w="3355" w:type="dxa"/>
            <w:vAlign w:val="center"/>
          </w:tcPr>
          <w:p w:rsidR="00C53DF1" w:rsidRDefault="002754D0">
            <w:pPr>
              <w:pStyle w:val="TableParagraph"/>
              <w:spacing w:line="256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Total No of points</w:t>
            </w:r>
          </w:p>
        </w:tc>
        <w:tc>
          <w:tcPr>
            <w:tcW w:w="3355" w:type="dxa"/>
            <w:vAlign w:val="center"/>
          </w:tcPr>
          <w:p w:rsidR="00C53DF1" w:rsidRDefault="002754D0">
            <w:pPr>
              <w:pStyle w:val="TableParagraph"/>
              <w:spacing w:line="256" w:lineRule="exact"/>
              <w:ind w:left="236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Description</w:t>
            </w:r>
          </w:p>
        </w:tc>
      </w:tr>
      <w:tr w:rsidR="00C53DF1">
        <w:trPr>
          <w:trHeight w:val="275"/>
        </w:trPr>
        <w:tc>
          <w:tcPr>
            <w:tcW w:w="3354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10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91-100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Excellent</w:t>
            </w:r>
          </w:p>
        </w:tc>
      </w:tr>
      <w:tr w:rsidR="00C53DF1">
        <w:trPr>
          <w:trHeight w:val="275"/>
        </w:trPr>
        <w:tc>
          <w:tcPr>
            <w:tcW w:w="3354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9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81-90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 xml:space="preserve">Exceptionally </w:t>
            </w:r>
            <w:r>
              <w:rPr>
                <w:bCs/>
              </w:rPr>
              <w:t>good</w:t>
            </w:r>
          </w:p>
        </w:tc>
      </w:tr>
      <w:tr w:rsidR="00C53DF1">
        <w:trPr>
          <w:trHeight w:val="276"/>
        </w:trPr>
        <w:tc>
          <w:tcPr>
            <w:tcW w:w="3354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8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71-80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Very good</w:t>
            </w:r>
          </w:p>
        </w:tc>
      </w:tr>
      <w:tr w:rsidR="00C53DF1">
        <w:trPr>
          <w:trHeight w:val="277"/>
        </w:trPr>
        <w:tc>
          <w:tcPr>
            <w:tcW w:w="3354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7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61-70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Good</w:t>
            </w:r>
          </w:p>
        </w:tc>
      </w:tr>
      <w:tr w:rsidR="00C53DF1">
        <w:trPr>
          <w:trHeight w:val="275"/>
        </w:trPr>
        <w:tc>
          <w:tcPr>
            <w:tcW w:w="3354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6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51-60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Passing</w:t>
            </w:r>
          </w:p>
        </w:tc>
      </w:tr>
      <w:tr w:rsidR="00C53DF1">
        <w:trPr>
          <w:trHeight w:val="275"/>
        </w:trPr>
        <w:tc>
          <w:tcPr>
            <w:tcW w:w="3354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5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&lt; 51</w:t>
            </w:r>
          </w:p>
        </w:tc>
        <w:tc>
          <w:tcPr>
            <w:tcW w:w="3355" w:type="dxa"/>
          </w:tcPr>
          <w:p w:rsidR="00C53DF1" w:rsidRDefault="002754D0">
            <w:pPr>
              <w:pStyle w:val="Default"/>
              <w:jc w:val="center"/>
            </w:pPr>
            <w:r>
              <w:rPr>
                <w:bCs/>
              </w:rPr>
              <w:t>Failing</w:t>
            </w:r>
          </w:p>
        </w:tc>
      </w:tr>
    </w:tbl>
    <w:p w:rsidR="00C53DF1" w:rsidRDefault="00C53DF1">
      <w:pPr>
        <w:spacing w:line="256" w:lineRule="exact"/>
        <w:jc w:val="center"/>
        <w:rPr>
          <w:sz w:val="24"/>
        </w:rPr>
        <w:sectPr w:rsidR="00C53DF1">
          <w:pgSz w:w="11910" w:h="16850"/>
          <w:pgMar w:top="500" w:right="580" w:bottom="280" w:left="740" w:header="720" w:footer="720" w:gutter="0"/>
          <w:cols w:space="720"/>
        </w:sectPr>
      </w:pPr>
    </w:p>
    <w:p w:rsidR="00C53DF1" w:rsidRDefault="00C53DF1">
      <w:pPr>
        <w:pStyle w:val="BodyText"/>
        <w:rPr>
          <w:sz w:val="20"/>
        </w:rPr>
      </w:pPr>
    </w:p>
    <w:p w:rsidR="00C53DF1" w:rsidRDefault="00C53DF1">
      <w:pPr>
        <w:pStyle w:val="BodyText"/>
        <w:rPr>
          <w:sz w:val="20"/>
        </w:rPr>
      </w:pPr>
    </w:p>
    <w:p w:rsidR="00C53DF1" w:rsidRDefault="002754D0">
      <w:pPr>
        <w:ind w:left="104"/>
        <w:rPr>
          <w:b/>
          <w:sz w:val="32"/>
        </w:rPr>
      </w:pPr>
      <w:r>
        <w:rPr>
          <w:b/>
          <w:spacing w:val="-2"/>
          <w:sz w:val="32"/>
        </w:rPr>
        <w:t>Literature</w:t>
      </w:r>
    </w:p>
    <w:p w:rsidR="00C53DF1" w:rsidRDefault="00C53DF1">
      <w:pPr>
        <w:pStyle w:val="BodyText"/>
        <w:rPr>
          <w:b/>
          <w:sz w:val="25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78"/>
      </w:tblGrid>
      <w:tr w:rsidR="00C53DF1">
        <w:trPr>
          <w:trHeight w:val="544"/>
        </w:trPr>
        <w:tc>
          <w:tcPr>
            <w:tcW w:w="14478" w:type="dxa"/>
          </w:tcPr>
          <w:p w:rsidR="00C53DF1" w:rsidRDefault="002754D0">
            <w:pPr>
              <w:pStyle w:val="TableParagraph"/>
              <w:ind w:left="164" w:right="2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Atkinson AJ, et al. Principles of Clinical Pharmacology. 2nd ed. Burlington: Elsevier; 2007.</w:t>
            </w:r>
          </w:p>
        </w:tc>
      </w:tr>
      <w:tr w:rsidR="00C53DF1">
        <w:trPr>
          <w:trHeight w:val="544"/>
        </w:trPr>
        <w:tc>
          <w:tcPr>
            <w:tcW w:w="14478" w:type="dxa"/>
          </w:tcPr>
          <w:p w:rsidR="00C53DF1" w:rsidRDefault="002754D0">
            <w:pPr>
              <w:pStyle w:val="TableParagraph"/>
              <w:ind w:left="164" w:right="2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Katzung B. Basic and Clinical Pharmacology. 10th ed. New York:</w:t>
            </w:r>
            <w:r>
              <w:rPr>
                <w:sz w:val="24"/>
                <w:szCs w:val="24"/>
              </w:rPr>
              <w:t xml:space="preserve"> McGraw-Hill; 2004.</w:t>
            </w:r>
          </w:p>
        </w:tc>
      </w:tr>
      <w:tr w:rsidR="00C53DF1">
        <w:trPr>
          <w:trHeight w:val="544"/>
        </w:trPr>
        <w:tc>
          <w:tcPr>
            <w:tcW w:w="14478" w:type="dxa"/>
          </w:tcPr>
          <w:p w:rsidR="00C53DF1" w:rsidRDefault="002754D0">
            <w:pPr>
              <w:pStyle w:val="TableParagraph"/>
              <w:ind w:left="164" w:right="2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Brunton LL, editor. Goodman &amp; Gilman's The Pharmacological Basis of Therapeutics. 11th ed. New York: McGraw-Hill; 2006.</w:t>
            </w:r>
          </w:p>
        </w:tc>
      </w:tr>
      <w:tr w:rsidR="00C53DF1">
        <w:trPr>
          <w:trHeight w:val="544"/>
        </w:trPr>
        <w:tc>
          <w:tcPr>
            <w:tcW w:w="14478" w:type="dxa"/>
          </w:tcPr>
          <w:p w:rsidR="00C53DF1" w:rsidRDefault="002754D0">
            <w:pPr>
              <w:pStyle w:val="TableParagraph"/>
              <w:ind w:left="164" w:right="2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DiPiro JT, et al. Pharmacotherapy: a pathophysiologic approach. 7th ed. New York: McGraw-Hill; 2008.</w:t>
            </w:r>
          </w:p>
        </w:tc>
      </w:tr>
      <w:tr w:rsidR="00C53DF1">
        <w:trPr>
          <w:trHeight w:val="544"/>
        </w:trPr>
        <w:tc>
          <w:tcPr>
            <w:tcW w:w="14478" w:type="dxa"/>
          </w:tcPr>
          <w:p w:rsidR="00C53DF1" w:rsidRDefault="002754D0">
            <w:pPr>
              <w:pStyle w:val="TableParagraph"/>
              <w:ind w:left="164" w:right="2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Baxter K, ed</w:t>
            </w:r>
            <w:r>
              <w:rPr>
                <w:sz w:val="24"/>
                <w:szCs w:val="24"/>
              </w:rPr>
              <w:t>itor. Stockley’s drug interactions. 8th ed. London, UK; Pharmaceutical Press; 2008.</w:t>
            </w:r>
          </w:p>
        </w:tc>
      </w:tr>
    </w:tbl>
    <w:p w:rsidR="00C53DF1" w:rsidRDefault="00C53DF1">
      <w:pPr>
        <w:rPr>
          <w:b/>
          <w:sz w:val="24"/>
        </w:rPr>
      </w:pPr>
    </w:p>
    <w:p w:rsidR="00C53DF1" w:rsidRDefault="00C53DF1">
      <w:pPr>
        <w:rPr>
          <w:sz w:val="24"/>
        </w:rPr>
        <w:sectPr w:rsidR="00C53DF1">
          <w:pgSz w:w="16850" w:h="11910" w:orient="landscape"/>
          <w:pgMar w:top="1340" w:right="700" w:bottom="280" w:left="700" w:header="720" w:footer="720" w:gutter="0"/>
          <w:cols w:space="720"/>
        </w:sectPr>
      </w:pPr>
    </w:p>
    <w:p w:rsidR="00C53DF1" w:rsidRDefault="002754D0">
      <w:pPr>
        <w:ind w:left="1125" w:right="887"/>
        <w:jc w:val="center"/>
        <w:rPr>
          <w:b/>
          <w:sz w:val="36"/>
        </w:rPr>
      </w:pPr>
      <w:r>
        <w:rPr>
          <w:b/>
          <w:spacing w:val="-2"/>
          <w:sz w:val="36"/>
        </w:rPr>
        <w:t>Schedule</w:t>
      </w:r>
    </w:p>
    <w:p w:rsidR="00C53DF1" w:rsidRDefault="00C53DF1">
      <w:pPr>
        <w:pStyle w:val="BodyText"/>
        <w:rPr>
          <w:b/>
          <w:sz w:val="56"/>
        </w:rPr>
      </w:pPr>
    </w:p>
    <w:p w:rsidR="00C53DF1" w:rsidRDefault="002754D0">
      <w:pPr>
        <w:pStyle w:val="Heading1"/>
        <w:spacing w:line="322" w:lineRule="exact"/>
        <w:ind w:right="886"/>
        <w:jc w:val="center"/>
      </w:pPr>
      <w:r>
        <w:t>Module 1</w:t>
      </w:r>
      <w:r>
        <w:rPr>
          <w:spacing w:val="-2"/>
        </w:rPr>
        <w:t>:</w:t>
      </w:r>
    </w:p>
    <w:p w:rsidR="00C53DF1" w:rsidRDefault="00C53DF1">
      <w:pPr>
        <w:pStyle w:val="BodyText"/>
        <w:jc w:val="center"/>
        <w:rPr>
          <w:b/>
          <w:sz w:val="30"/>
        </w:rPr>
      </w:pPr>
    </w:p>
    <w:p w:rsidR="00C53DF1" w:rsidRDefault="002754D0">
      <w:pPr>
        <w:ind w:left="288"/>
        <w:rPr>
          <w:sz w:val="24"/>
        </w:rPr>
      </w:pPr>
      <w:r>
        <w:rPr>
          <w:sz w:val="24"/>
        </w:rPr>
        <w:t>COURSE UNIT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(WEEK 1</w:t>
      </w:r>
      <w:r>
        <w:rPr>
          <w:spacing w:val="-2"/>
          <w:sz w:val="24"/>
        </w:rPr>
        <w:t>):</w:t>
      </w:r>
    </w:p>
    <w:p w:rsidR="00C53DF1" w:rsidRDefault="00C53DF1">
      <w:pPr>
        <w:pStyle w:val="BodyText"/>
        <w:rPr>
          <w:sz w:val="1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62"/>
      </w:tblGrid>
      <w:tr w:rsidR="00C53DF1">
        <w:trPr>
          <w:trHeight w:val="52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ind w:left="1591"/>
              <w:rPr>
                <w:sz w:val="24"/>
              </w:rPr>
            </w:pPr>
            <w:r>
              <w:rPr>
                <w:sz w:val="24"/>
              </w:rPr>
              <w:t>Lectures: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912" w:right="1630"/>
              <w:jc w:val="center"/>
              <w:rPr>
                <w:sz w:val="24"/>
              </w:rPr>
            </w:pPr>
            <w:r>
              <w:rPr>
                <w:sz w:val="24"/>
              </w:rPr>
              <w:t>Practical classes: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hour</w:t>
            </w:r>
          </w:p>
        </w:tc>
      </w:tr>
      <w:tr w:rsidR="00C53DF1">
        <w:trPr>
          <w:trHeight w:val="1811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Antiulcer drugs</w:t>
            </w:r>
          </w:p>
          <w:p w:rsidR="00C53DF1" w:rsidRDefault="002754D0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 xml:space="preserve">Pharmacotherapy of gastroesophageal reflux disease </w:t>
            </w:r>
          </w:p>
          <w:p w:rsidR="00C53DF1" w:rsidRDefault="002754D0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 xml:space="preserve">Helicobacter pylori - detection and eradication </w:t>
            </w:r>
          </w:p>
          <w:p w:rsidR="00C53DF1" w:rsidRDefault="002754D0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Hydrochloric acid and enzymes of the digestive tract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367"/>
              <w:rPr>
                <w:sz w:val="24"/>
              </w:rPr>
            </w:pPr>
            <w:r>
              <w:rPr>
                <w:sz w:val="24"/>
              </w:rPr>
              <w:t>Peptic ulcer (clinical problem)</w:t>
            </w:r>
          </w:p>
        </w:tc>
      </w:tr>
    </w:tbl>
    <w:p w:rsidR="00C53DF1" w:rsidRDefault="00C53DF1">
      <w:pPr>
        <w:pStyle w:val="BodyText"/>
        <w:rPr>
          <w:sz w:val="26"/>
        </w:rPr>
      </w:pPr>
    </w:p>
    <w:p w:rsidR="00C53DF1" w:rsidRDefault="00C53DF1">
      <w:pPr>
        <w:pStyle w:val="BodyText"/>
        <w:rPr>
          <w:sz w:val="26"/>
        </w:rPr>
      </w:pPr>
    </w:p>
    <w:p w:rsidR="00C53DF1" w:rsidRDefault="002754D0">
      <w:pPr>
        <w:ind w:left="288"/>
        <w:rPr>
          <w:sz w:val="24"/>
        </w:rPr>
      </w:pPr>
      <w:r>
        <w:rPr>
          <w:sz w:val="24"/>
        </w:rPr>
        <w:t>COURSE UNIT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(WEEK 2</w:t>
      </w:r>
      <w:r>
        <w:rPr>
          <w:spacing w:val="-2"/>
          <w:sz w:val="24"/>
        </w:rPr>
        <w:t>):</w:t>
      </w:r>
    </w:p>
    <w:p w:rsidR="00C53DF1" w:rsidRDefault="00C53DF1">
      <w:pPr>
        <w:pStyle w:val="BodyText"/>
        <w:rPr>
          <w:sz w:val="1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62"/>
      </w:tblGrid>
      <w:tr w:rsidR="00C53DF1">
        <w:trPr>
          <w:trHeight w:val="52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ind w:left="1591"/>
              <w:rPr>
                <w:sz w:val="24"/>
              </w:rPr>
            </w:pPr>
            <w:r>
              <w:rPr>
                <w:sz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912" w:right="107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Practical classes: 1 </w:t>
            </w:r>
            <w:r>
              <w:rPr>
                <w:sz w:val="24"/>
              </w:rPr>
              <w:t>hour</w:t>
            </w:r>
          </w:p>
        </w:tc>
      </w:tr>
      <w:tr w:rsidR="00C53DF1">
        <w:trPr>
          <w:trHeight w:val="1243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Antiemetics and emetics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Antiemetic protocols depending on the cause of vomiting 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Enteral and parenteral nutrition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Diarrhea (clinical problem)</w:t>
            </w:r>
          </w:p>
        </w:tc>
      </w:tr>
    </w:tbl>
    <w:p w:rsidR="00C53DF1" w:rsidRDefault="00C53DF1">
      <w:pPr>
        <w:pStyle w:val="BodyText"/>
        <w:rPr>
          <w:sz w:val="26"/>
        </w:rPr>
      </w:pPr>
    </w:p>
    <w:p w:rsidR="00C53DF1" w:rsidRDefault="00C53DF1">
      <w:pPr>
        <w:pStyle w:val="BodyText"/>
        <w:rPr>
          <w:sz w:val="26"/>
        </w:rPr>
      </w:pPr>
    </w:p>
    <w:p w:rsidR="00C53DF1" w:rsidRDefault="002754D0">
      <w:pPr>
        <w:ind w:left="288"/>
        <w:rPr>
          <w:sz w:val="24"/>
        </w:rPr>
      </w:pPr>
      <w:r>
        <w:rPr>
          <w:sz w:val="24"/>
        </w:rPr>
        <w:t>COURSE UNIT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(WEEK 3</w:t>
      </w:r>
      <w:r>
        <w:rPr>
          <w:spacing w:val="-2"/>
          <w:sz w:val="24"/>
        </w:rPr>
        <w:t>):</w:t>
      </w:r>
    </w:p>
    <w:p w:rsidR="00C53DF1" w:rsidRDefault="00C53DF1">
      <w:pPr>
        <w:pStyle w:val="BodyText"/>
        <w:rPr>
          <w:sz w:val="10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6"/>
        <w:gridCol w:w="4962"/>
      </w:tblGrid>
      <w:tr w:rsidR="00C53DF1">
        <w:trPr>
          <w:trHeight w:val="527"/>
        </w:trPr>
        <w:tc>
          <w:tcPr>
            <w:tcW w:w="5046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ind w:left="1591"/>
              <w:rPr>
                <w:sz w:val="24"/>
              </w:rPr>
            </w:pPr>
            <w:r>
              <w:rPr>
                <w:sz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912" w:right="1076"/>
              <w:jc w:val="center"/>
              <w:rPr>
                <w:sz w:val="24"/>
              </w:rPr>
            </w:pPr>
            <w:r>
              <w:rPr>
                <w:sz w:val="24"/>
              </w:rPr>
              <w:t>Practical classes: 1 hour</w:t>
            </w:r>
          </w:p>
        </w:tc>
      </w:tr>
      <w:tr w:rsidR="00C53DF1">
        <w:trPr>
          <w:trHeight w:val="473"/>
        </w:trPr>
        <w:tc>
          <w:tcPr>
            <w:tcW w:w="5046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Laxatives and antidiarrheals</w:t>
            </w:r>
          </w:p>
          <w:p w:rsidR="00C53DF1" w:rsidRDefault="002754D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Pharmacotherapy of inflammatory bowel diseases </w:t>
            </w:r>
          </w:p>
          <w:p w:rsidR="00C53DF1" w:rsidRDefault="002754D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Prokinetics, spasmolytics and other drugs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1396"/>
              <w:rPr>
                <w:sz w:val="24"/>
              </w:rPr>
            </w:pPr>
            <w:r>
              <w:rPr>
                <w:sz w:val="24"/>
              </w:rPr>
              <w:t>Constipation (clinical problem)</w:t>
            </w:r>
          </w:p>
          <w:p w:rsidR="00C53DF1" w:rsidRDefault="00C53DF1">
            <w:pPr>
              <w:pStyle w:val="TableParagraph"/>
              <w:ind w:right="1396"/>
              <w:rPr>
                <w:sz w:val="24"/>
              </w:rPr>
            </w:pPr>
          </w:p>
        </w:tc>
      </w:tr>
    </w:tbl>
    <w:p w:rsidR="00C53DF1" w:rsidRDefault="00C53DF1">
      <w:pPr>
        <w:pStyle w:val="BodyText"/>
        <w:rPr>
          <w:sz w:val="26"/>
        </w:rPr>
      </w:pPr>
    </w:p>
    <w:p w:rsidR="00C53DF1" w:rsidRDefault="00C53DF1">
      <w:pPr>
        <w:pStyle w:val="BodyText"/>
        <w:rPr>
          <w:sz w:val="26"/>
        </w:rPr>
      </w:pPr>
    </w:p>
    <w:p w:rsidR="00C53DF1" w:rsidRDefault="002754D0">
      <w:pPr>
        <w:ind w:left="288"/>
        <w:rPr>
          <w:sz w:val="24"/>
        </w:rPr>
      </w:pPr>
      <w:r>
        <w:rPr>
          <w:sz w:val="24"/>
        </w:rPr>
        <w:t>COURSE UNIT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-2"/>
          <w:sz w:val="24"/>
        </w:rPr>
        <w:t>WEEK 4):</w:t>
      </w:r>
    </w:p>
    <w:p w:rsidR="00C53DF1" w:rsidRDefault="00C53DF1">
      <w:pPr>
        <w:pStyle w:val="BodyText"/>
        <w:rPr>
          <w:sz w:val="1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62"/>
      </w:tblGrid>
      <w:tr w:rsidR="00C53DF1">
        <w:trPr>
          <w:trHeight w:val="52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ind w:left="1591"/>
              <w:rPr>
                <w:sz w:val="24"/>
              </w:rPr>
            </w:pPr>
            <w:r>
              <w:rPr>
                <w:sz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196" w:right="1076"/>
              <w:jc w:val="center"/>
              <w:rPr>
                <w:sz w:val="24"/>
              </w:rPr>
            </w:pPr>
            <w:r>
              <w:rPr>
                <w:sz w:val="24"/>
              </w:rPr>
              <w:t>Practical classes: 1 hour</w:t>
            </w:r>
          </w:p>
        </w:tc>
      </w:tr>
      <w:tr w:rsidR="00C53DF1">
        <w:trPr>
          <w:trHeight w:val="1070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Medicines in the therapy of coagulation disorders, water and</w:t>
            </w:r>
            <w:r>
              <w:rPr>
                <w:sz w:val="24"/>
              </w:rPr>
              <w:t xml:space="preserve"> electrolytes and blood preparations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Medicines in the treatment of anemia 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Hematopoietic growth factors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Anemia (clinical problem)</w:t>
            </w:r>
          </w:p>
        </w:tc>
      </w:tr>
    </w:tbl>
    <w:p w:rsidR="00C53DF1" w:rsidRDefault="00C53DF1">
      <w:pPr>
        <w:rPr>
          <w:sz w:val="24"/>
        </w:rPr>
        <w:sectPr w:rsidR="00C53DF1">
          <w:pgSz w:w="11910" w:h="16850"/>
          <w:pgMar w:top="1200" w:right="540" w:bottom="280" w:left="960" w:header="720" w:footer="720" w:gutter="0"/>
          <w:cols w:space="720"/>
        </w:sectPr>
      </w:pPr>
    </w:p>
    <w:p w:rsidR="00C53DF1" w:rsidRDefault="00C53DF1">
      <w:pPr>
        <w:pStyle w:val="BodyText"/>
        <w:rPr>
          <w:b/>
          <w:sz w:val="30"/>
        </w:rPr>
      </w:pPr>
    </w:p>
    <w:p w:rsidR="00C53DF1" w:rsidRDefault="002754D0">
      <w:pPr>
        <w:ind w:left="230"/>
        <w:rPr>
          <w:sz w:val="24"/>
          <w:szCs w:val="24"/>
        </w:rPr>
      </w:pPr>
      <w:r>
        <w:rPr>
          <w:sz w:val="24"/>
          <w:szCs w:val="24"/>
        </w:rPr>
        <w:t>COURSE UNIT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WEEK 5):</w:t>
      </w:r>
    </w:p>
    <w:p w:rsidR="00C53DF1" w:rsidRDefault="00C53DF1">
      <w:pPr>
        <w:pStyle w:val="BodyText"/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55"/>
      </w:tblGrid>
      <w:tr w:rsidR="00C53DF1">
        <w:trPr>
          <w:trHeight w:val="369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68" w:lineRule="exact"/>
              <w:ind w:left="15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Lectures: 2 hours</w:t>
            </w:r>
          </w:p>
        </w:tc>
        <w:tc>
          <w:tcPr>
            <w:tcW w:w="4955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054" w:right="10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Practical classes: 1 hour</w:t>
            </w:r>
          </w:p>
        </w:tc>
      </w:tr>
      <w:tr w:rsidR="00C53DF1">
        <w:trPr>
          <w:trHeight w:val="1199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Pharmacology of hypothalamic, pituitary,</w:t>
            </w:r>
            <w:r>
              <w:rPr>
                <w:sz w:val="24"/>
                <w:szCs w:val="24"/>
              </w:rPr>
              <w:t xml:space="preserve"> and sex hormones</w:t>
            </w:r>
          </w:p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Thyroid hormones and antithyroid drugs </w:t>
            </w:r>
          </w:p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Pharmacology of vitamins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Hyperthyroidism (clinical problem)</w:t>
            </w:r>
          </w:p>
        </w:tc>
      </w:tr>
    </w:tbl>
    <w:p w:rsidR="00C53DF1" w:rsidRDefault="00C53DF1">
      <w:pPr>
        <w:pStyle w:val="BodyText"/>
      </w:pPr>
    </w:p>
    <w:p w:rsidR="00C53DF1" w:rsidRDefault="002754D0">
      <w:pPr>
        <w:ind w:left="175"/>
        <w:rPr>
          <w:sz w:val="24"/>
          <w:szCs w:val="24"/>
        </w:rPr>
      </w:pPr>
      <w:r>
        <w:rPr>
          <w:sz w:val="24"/>
          <w:szCs w:val="24"/>
        </w:rPr>
        <w:t>COURSE UNIT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WEEK 6):</w:t>
      </w:r>
    </w:p>
    <w:p w:rsidR="00C53DF1" w:rsidRDefault="00C53DF1">
      <w:pPr>
        <w:pStyle w:val="BodyText"/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55"/>
      </w:tblGrid>
      <w:tr w:rsidR="00C53DF1">
        <w:trPr>
          <w:trHeight w:val="366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68" w:lineRule="exact"/>
              <w:ind w:left="15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Lectures: 2 hours</w:t>
            </w:r>
          </w:p>
        </w:tc>
        <w:tc>
          <w:tcPr>
            <w:tcW w:w="4955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196" w:right="1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Practical classes: 1 hour</w:t>
            </w:r>
          </w:p>
        </w:tc>
      </w:tr>
      <w:tr w:rsidR="00C53DF1">
        <w:trPr>
          <w:trHeight w:val="919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Insulin and oral antidiabetics</w:t>
            </w:r>
          </w:p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Hyperglycemic agents </w:t>
            </w:r>
          </w:p>
          <w:p w:rsidR="00C53DF1" w:rsidRDefault="00C53DF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3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Hyperglycemic coma (clinical problem)</w:t>
            </w:r>
          </w:p>
        </w:tc>
      </w:tr>
    </w:tbl>
    <w:p w:rsidR="00C53DF1" w:rsidRDefault="00C53DF1">
      <w:pPr>
        <w:pStyle w:val="BodyText"/>
      </w:pPr>
    </w:p>
    <w:p w:rsidR="00C53DF1" w:rsidRDefault="002754D0">
      <w:pPr>
        <w:ind w:left="235"/>
        <w:rPr>
          <w:sz w:val="24"/>
          <w:szCs w:val="24"/>
        </w:rPr>
      </w:pPr>
      <w:r>
        <w:rPr>
          <w:sz w:val="24"/>
          <w:szCs w:val="24"/>
        </w:rPr>
        <w:t>COURSE UNIT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WEEK 7):</w:t>
      </w:r>
    </w:p>
    <w:p w:rsidR="00C53DF1" w:rsidRDefault="00C53DF1">
      <w:pPr>
        <w:pStyle w:val="BodyText"/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55"/>
      </w:tblGrid>
      <w:tr w:rsidR="00C53DF1">
        <w:trPr>
          <w:trHeight w:val="366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68" w:lineRule="exact"/>
              <w:ind w:left="15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Lectures: 2 hours</w:t>
            </w:r>
          </w:p>
        </w:tc>
        <w:tc>
          <w:tcPr>
            <w:tcW w:w="4955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196" w:right="1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Practical classes: 1 hour</w:t>
            </w:r>
          </w:p>
        </w:tc>
      </w:tr>
      <w:tr w:rsidR="00C53DF1">
        <w:trPr>
          <w:trHeight w:val="991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Adrenal cortex hormones</w:t>
            </w:r>
          </w:p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Inhibitors of adrenal cortex hormone synthesis</w:t>
            </w:r>
          </w:p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Corticosteroids for systemic and local use</w:t>
            </w:r>
          </w:p>
          <w:p w:rsidR="00C53DF1" w:rsidRDefault="00C53DF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12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Addison's disease (clinical </w:t>
            </w:r>
            <w:r>
              <w:rPr>
                <w:sz w:val="24"/>
                <w:szCs w:val="24"/>
              </w:rPr>
              <w:t>problem)</w:t>
            </w:r>
          </w:p>
        </w:tc>
      </w:tr>
    </w:tbl>
    <w:p w:rsidR="00C53DF1" w:rsidRDefault="00C53DF1">
      <w:pPr>
        <w:pStyle w:val="BodyText"/>
      </w:pPr>
    </w:p>
    <w:p w:rsidR="00C53DF1" w:rsidRDefault="002754D0">
      <w:pPr>
        <w:ind w:left="235"/>
        <w:rPr>
          <w:sz w:val="24"/>
          <w:szCs w:val="24"/>
        </w:rPr>
      </w:pPr>
      <w:r>
        <w:rPr>
          <w:sz w:val="24"/>
          <w:szCs w:val="24"/>
        </w:rPr>
        <w:t>COURSE UNIT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WEEK 8):</w:t>
      </w:r>
    </w:p>
    <w:p w:rsidR="00C53DF1" w:rsidRDefault="00C53DF1">
      <w:pPr>
        <w:pStyle w:val="BodyText"/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6"/>
        <w:gridCol w:w="4942"/>
      </w:tblGrid>
      <w:tr w:rsidR="00C53DF1">
        <w:trPr>
          <w:trHeight w:val="369"/>
        </w:trPr>
        <w:tc>
          <w:tcPr>
            <w:tcW w:w="5056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68" w:lineRule="exact"/>
              <w:ind w:left="15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Lectures: 2 hours</w:t>
            </w:r>
          </w:p>
        </w:tc>
        <w:tc>
          <w:tcPr>
            <w:tcW w:w="4942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211" w:right="10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Practical classes: 1 hour</w:t>
            </w:r>
          </w:p>
        </w:tc>
      </w:tr>
      <w:tr w:rsidR="00C53DF1">
        <w:trPr>
          <w:trHeight w:val="909"/>
        </w:trPr>
        <w:tc>
          <w:tcPr>
            <w:tcW w:w="5056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ind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Calcium, parathyroid hormone and vitamin D</w:t>
            </w:r>
          </w:p>
          <w:p w:rsidR="00C53DF1" w:rsidRDefault="002754D0">
            <w:pPr>
              <w:pStyle w:val="TableParagraph"/>
              <w:ind w:right="3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medicines for bone metabolism disorders</w:t>
            </w:r>
          </w:p>
          <w:p w:rsidR="00C53DF1" w:rsidRDefault="002754D0">
            <w:pPr>
              <w:pStyle w:val="TableParagraph"/>
              <w:ind w:right="7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Bisphosphonate preparations - comparative pharmacology</w:t>
            </w:r>
          </w:p>
          <w:p w:rsidR="00C53DF1" w:rsidRDefault="00C53DF1">
            <w:pPr>
              <w:pStyle w:val="TableParagraph"/>
              <w:ind w:right="744"/>
              <w:rPr>
                <w:sz w:val="24"/>
                <w:szCs w:val="24"/>
              </w:rPr>
            </w:pP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17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Osteoporosis (clinical </w:t>
            </w:r>
            <w:r>
              <w:rPr>
                <w:sz w:val="24"/>
                <w:szCs w:val="24"/>
              </w:rPr>
              <w:t>problem)</w:t>
            </w:r>
          </w:p>
        </w:tc>
      </w:tr>
    </w:tbl>
    <w:p w:rsidR="00C53DF1" w:rsidRDefault="00C53DF1">
      <w:pPr>
        <w:pStyle w:val="BodyText"/>
      </w:pPr>
    </w:p>
    <w:p w:rsidR="00C53DF1" w:rsidRDefault="002754D0">
      <w:pPr>
        <w:ind w:left="175"/>
        <w:rPr>
          <w:sz w:val="24"/>
          <w:szCs w:val="24"/>
        </w:rPr>
      </w:pPr>
      <w:r>
        <w:rPr>
          <w:sz w:val="24"/>
          <w:szCs w:val="24"/>
        </w:rPr>
        <w:t>COURSE UNIT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WEEK 9):</w:t>
      </w:r>
    </w:p>
    <w:p w:rsidR="00C53DF1" w:rsidRDefault="00C53DF1">
      <w:pPr>
        <w:pStyle w:val="BodyText"/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2"/>
        <w:gridCol w:w="4979"/>
      </w:tblGrid>
      <w:tr w:rsidR="00C53DF1">
        <w:trPr>
          <w:trHeight w:val="631"/>
        </w:trPr>
        <w:tc>
          <w:tcPr>
            <w:tcW w:w="5212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ind w:left="15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Lectures: 2 hours</w:t>
            </w:r>
          </w:p>
        </w:tc>
        <w:tc>
          <w:tcPr>
            <w:tcW w:w="4979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196" w:right="109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Practical classes: 1 hour</w:t>
            </w:r>
          </w:p>
        </w:tc>
      </w:tr>
      <w:tr w:rsidR="00C53DF1">
        <w:trPr>
          <w:trHeight w:val="1379"/>
        </w:trPr>
        <w:tc>
          <w:tcPr>
            <w:tcW w:w="5212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Chemotherapy of malignant diseases</w:t>
            </w:r>
          </w:p>
          <w:p w:rsidR="00C53DF1" w:rsidRDefault="002754D0">
            <w:pPr>
              <w:pStyle w:val="TableParagraph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Adverse effects of cytostatics and their treatment Preparation of cytotoxic drugs and protective measures</w:t>
            </w:r>
          </w:p>
          <w:p w:rsidR="00C53DF1" w:rsidRDefault="00C53DF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spacing w:line="270" w:lineRule="atLeast"/>
              <w:ind w:right="10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Leukemia (clinical problem)</w:t>
            </w:r>
          </w:p>
        </w:tc>
      </w:tr>
    </w:tbl>
    <w:p w:rsidR="00C53DF1" w:rsidRDefault="002754D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53DF1" w:rsidRDefault="00C53DF1">
      <w:pPr>
        <w:rPr>
          <w:sz w:val="24"/>
          <w:szCs w:val="24"/>
        </w:rPr>
      </w:pPr>
    </w:p>
    <w:p w:rsidR="00C53DF1" w:rsidRDefault="002754D0">
      <w:pPr>
        <w:rPr>
          <w:sz w:val="24"/>
          <w:szCs w:val="24"/>
        </w:rPr>
      </w:pPr>
      <w:r>
        <w:rPr>
          <w:sz w:val="24"/>
          <w:szCs w:val="24"/>
        </w:rPr>
        <w:t>COURSE UNIT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WEEK 10):</w:t>
      </w:r>
    </w:p>
    <w:p w:rsidR="00C53DF1" w:rsidRDefault="00C53DF1">
      <w:pPr>
        <w:pStyle w:val="BodyText"/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4"/>
        <w:gridCol w:w="4976"/>
      </w:tblGrid>
      <w:tr w:rsidR="00C53DF1">
        <w:trPr>
          <w:trHeight w:val="371"/>
        </w:trPr>
        <w:tc>
          <w:tcPr>
            <w:tcW w:w="5214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ind w:left="15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Lectures: 2 hours</w:t>
            </w:r>
          </w:p>
        </w:tc>
        <w:tc>
          <w:tcPr>
            <w:tcW w:w="4976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338" w:right="9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Practical classes: 1 hour</w:t>
            </w:r>
          </w:p>
        </w:tc>
      </w:tr>
      <w:tr w:rsidR="00C53DF1">
        <w:trPr>
          <w:trHeight w:val="996"/>
        </w:trPr>
        <w:tc>
          <w:tcPr>
            <w:tcW w:w="5214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Immunosuppressive drugs</w:t>
            </w:r>
          </w:p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Immunostimulants and monoclonal antibodies</w:t>
            </w:r>
          </w:p>
          <w:p w:rsidR="00C53DF1" w:rsidRDefault="00C53DF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Skin carcinoma lesion (clinical problem)</w:t>
            </w:r>
          </w:p>
        </w:tc>
      </w:tr>
    </w:tbl>
    <w:p w:rsidR="00C53DF1" w:rsidRDefault="00C53DF1">
      <w:pPr>
        <w:pStyle w:val="Heading1"/>
        <w:ind w:left="2251" w:right="1326" w:firstLine="1949"/>
      </w:pPr>
    </w:p>
    <w:p w:rsidR="00C53DF1" w:rsidRDefault="002754D0">
      <w:pPr>
        <w:ind w:left="288"/>
        <w:rPr>
          <w:sz w:val="24"/>
        </w:rPr>
      </w:pPr>
      <w:r>
        <w:rPr>
          <w:sz w:val="24"/>
        </w:rPr>
        <w:t>COURSE UNIT</w:t>
      </w:r>
      <w:r>
        <w:rPr>
          <w:spacing w:val="-4"/>
          <w:sz w:val="24"/>
        </w:rPr>
        <w:t xml:space="preserve"> </w:t>
      </w:r>
      <w:r>
        <w:rPr>
          <w:sz w:val="24"/>
        </w:rPr>
        <w:t>11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spacing w:val="-2"/>
          <w:sz w:val="24"/>
        </w:rPr>
        <w:t>WEEK 11):</w:t>
      </w:r>
    </w:p>
    <w:p w:rsidR="00C53DF1" w:rsidRDefault="00C53DF1">
      <w:pPr>
        <w:pStyle w:val="BodyText"/>
        <w:rPr>
          <w:sz w:val="10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9"/>
        <w:gridCol w:w="4962"/>
      </w:tblGrid>
      <w:tr w:rsidR="00C53DF1">
        <w:trPr>
          <w:trHeight w:val="369"/>
        </w:trPr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68" w:lineRule="exact"/>
              <w:ind w:left="1617"/>
              <w:rPr>
                <w:sz w:val="24"/>
              </w:rPr>
            </w:pPr>
            <w:r>
              <w:rPr>
                <w:sz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912" w:right="934"/>
              <w:jc w:val="center"/>
              <w:rPr>
                <w:sz w:val="24"/>
              </w:rPr>
            </w:pPr>
            <w:r>
              <w:rPr>
                <w:sz w:val="24"/>
              </w:rPr>
              <w:t>Practical classes: 1 hour</w:t>
            </w:r>
          </w:p>
        </w:tc>
      </w:tr>
      <w:tr w:rsidR="00C53DF1">
        <w:trPr>
          <w:trHeight w:val="1070"/>
        </w:trPr>
        <w:tc>
          <w:tcPr>
            <w:tcW w:w="5099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Basic principles of antibiotic therapy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Inhibitors of cell wall synthesis 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Antibiotics for local application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Antiseptics and disinfectants - production and preparation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1218"/>
              <w:rPr>
                <w:sz w:val="24"/>
              </w:rPr>
            </w:pPr>
            <w:r>
              <w:rPr>
                <w:sz w:val="24"/>
              </w:rPr>
              <w:t>Pneumonia (clinical problem)</w:t>
            </w:r>
          </w:p>
        </w:tc>
      </w:tr>
    </w:tbl>
    <w:p w:rsidR="00C53DF1" w:rsidRDefault="00C53DF1">
      <w:pPr>
        <w:pStyle w:val="BodyText"/>
        <w:rPr>
          <w:sz w:val="26"/>
        </w:rPr>
      </w:pPr>
    </w:p>
    <w:p w:rsidR="00C53DF1" w:rsidRDefault="00C53DF1">
      <w:pPr>
        <w:pStyle w:val="BodyText"/>
        <w:rPr>
          <w:sz w:val="26"/>
        </w:rPr>
      </w:pPr>
    </w:p>
    <w:p w:rsidR="00C53DF1" w:rsidRDefault="002754D0">
      <w:pPr>
        <w:ind w:left="288"/>
        <w:rPr>
          <w:sz w:val="24"/>
        </w:rPr>
      </w:pPr>
      <w:r>
        <w:rPr>
          <w:sz w:val="24"/>
        </w:rPr>
        <w:t>COURSE UNIT</w:t>
      </w:r>
      <w:r>
        <w:rPr>
          <w:spacing w:val="-4"/>
          <w:sz w:val="24"/>
        </w:rPr>
        <w:t xml:space="preserve"> </w:t>
      </w:r>
      <w:r>
        <w:rPr>
          <w:sz w:val="24"/>
        </w:rPr>
        <w:t>12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spacing w:val="-2"/>
          <w:sz w:val="24"/>
        </w:rPr>
        <w:t>WEEK 12):</w:t>
      </w:r>
    </w:p>
    <w:p w:rsidR="00C53DF1" w:rsidRDefault="00C53DF1">
      <w:pPr>
        <w:pStyle w:val="BodyText"/>
        <w:rPr>
          <w:sz w:val="10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9"/>
        <w:gridCol w:w="4962"/>
      </w:tblGrid>
      <w:tr w:rsidR="00C53DF1">
        <w:trPr>
          <w:trHeight w:val="367"/>
        </w:trPr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68" w:lineRule="exact"/>
              <w:ind w:left="1617"/>
              <w:rPr>
                <w:sz w:val="24"/>
              </w:rPr>
            </w:pPr>
            <w:r>
              <w:rPr>
                <w:sz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tabs>
                <w:tab w:val="left" w:pos="2472"/>
              </w:tabs>
              <w:ind w:left="1196" w:right="934"/>
              <w:jc w:val="center"/>
              <w:rPr>
                <w:sz w:val="24"/>
              </w:rPr>
            </w:pPr>
            <w:r>
              <w:rPr>
                <w:sz w:val="24"/>
              </w:rPr>
              <w:t>Practical cl</w:t>
            </w:r>
            <w:r>
              <w:rPr>
                <w:sz w:val="24"/>
              </w:rPr>
              <w:t>asses: 1 hour</w:t>
            </w:r>
          </w:p>
        </w:tc>
      </w:tr>
      <w:tr w:rsidR="00C53DF1">
        <w:trPr>
          <w:trHeight w:val="1070"/>
        </w:trPr>
        <w:tc>
          <w:tcPr>
            <w:tcW w:w="5099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Inhibitors of protein synthesis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Sulfonamides, quinolones, uroantiseptics </w:t>
            </w:r>
          </w:p>
          <w:p w:rsidR="00C53DF1" w:rsidRDefault="00C53DF1">
            <w:pPr>
              <w:pStyle w:val="TableParagraph"/>
              <w:rPr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651"/>
              <w:rPr>
                <w:sz w:val="24"/>
              </w:rPr>
            </w:pPr>
            <w:r>
              <w:rPr>
                <w:sz w:val="24"/>
              </w:rPr>
              <w:t>Pyelonephritis (clinical problem)</w:t>
            </w:r>
          </w:p>
        </w:tc>
      </w:tr>
    </w:tbl>
    <w:p w:rsidR="00C53DF1" w:rsidRDefault="00C53DF1">
      <w:pPr>
        <w:pStyle w:val="BodyText"/>
        <w:rPr>
          <w:sz w:val="37"/>
        </w:rPr>
      </w:pPr>
    </w:p>
    <w:p w:rsidR="00C53DF1" w:rsidRDefault="002754D0">
      <w:pPr>
        <w:ind w:left="288"/>
        <w:rPr>
          <w:sz w:val="24"/>
        </w:rPr>
      </w:pPr>
      <w:r>
        <w:rPr>
          <w:sz w:val="24"/>
        </w:rPr>
        <w:t>COURSE UNIT</w:t>
      </w:r>
      <w:r>
        <w:rPr>
          <w:spacing w:val="-4"/>
          <w:sz w:val="24"/>
        </w:rPr>
        <w:t xml:space="preserve"> </w:t>
      </w:r>
      <w:r>
        <w:rPr>
          <w:sz w:val="24"/>
        </w:rPr>
        <w:t>13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spacing w:val="-2"/>
          <w:sz w:val="24"/>
        </w:rPr>
        <w:t>WEEK 13):</w:t>
      </w:r>
    </w:p>
    <w:p w:rsidR="00C53DF1" w:rsidRDefault="00C53DF1">
      <w:pPr>
        <w:pStyle w:val="BodyText"/>
        <w:rPr>
          <w:sz w:val="10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89"/>
      </w:tblGrid>
      <w:tr w:rsidR="00C53DF1">
        <w:trPr>
          <w:trHeight w:val="36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68" w:lineRule="exact"/>
              <w:ind w:left="1545"/>
              <w:rPr>
                <w:sz w:val="24"/>
              </w:rPr>
            </w:pPr>
            <w:r>
              <w:rPr>
                <w:sz w:val="24"/>
              </w:rPr>
              <w:t>Lectures: 2 hours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495" w:right="934"/>
              <w:jc w:val="center"/>
              <w:rPr>
                <w:sz w:val="24"/>
              </w:rPr>
            </w:pPr>
            <w:r>
              <w:rPr>
                <w:sz w:val="24"/>
              </w:rPr>
              <w:t>Practical classes: 1 hour</w:t>
            </w:r>
          </w:p>
        </w:tc>
      </w:tr>
      <w:tr w:rsidR="00C53DF1">
        <w:trPr>
          <w:trHeight w:val="1214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Other antibacterial drugs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Antituberculotic drugs</w:t>
            </w:r>
          </w:p>
          <w:p w:rsidR="00C53DF1" w:rsidRDefault="00C53DF1">
            <w:pPr>
              <w:pStyle w:val="TableParagraph"/>
              <w:rPr>
                <w:sz w:val="24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529"/>
              <w:rPr>
                <w:sz w:val="24"/>
              </w:rPr>
            </w:pPr>
            <w:r>
              <w:rPr>
                <w:sz w:val="24"/>
              </w:rPr>
              <w:t>Osteomyelitis (clinical problem)</w:t>
            </w:r>
          </w:p>
        </w:tc>
      </w:tr>
    </w:tbl>
    <w:p w:rsidR="00C53DF1" w:rsidRDefault="00C53DF1">
      <w:pPr>
        <w:pStyle w:val="BodyText"/>
        <w:rPr>
          <w:sz w:val="26"/>
        </w:rPr>
      </w:pPr>
    </w:p>
    <w:p w:rsidR="00C53DF1" w:rsidRDefault="002754D0">
      <w:pPr>
        <w:ind w:left="288"/>
        <w:rPr>
          <w:sz w:val="24"/>
        </w:rPr>
      </w:pPr>
      <w:r>
        <w:rPr>
          <w:sz w:val="24"/>
        </w:rPr>
        <w:t>COURSE UNIT</w:t>
      </w:r>
      <w:r>
        <w:rPr>
          <w:spacing w:val="-3"/>
          <w:sz w:val="24"/>
        </w:rPr>
        <w:t xml:space="preserve"> </w:t>
      </w:r>
      <w:r>
        <w:rPr>
          <w:sz w:val="24"/>
        </w:rPr>
        <w:t>14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-2"/>
          <w:sz w:val="24"/>
        </w:rPr>
        <w:t>WEEK 14):</w:t>
      </w:r>
    </w:p>
    <w:p w:rsidR="00C53DF1" w:rsidRDefault="00C53DF1">
      <w:pPr>
        <w:pStyle w:val="BodyText"/>
        <w:rPr>
          <w:sz w:val="10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89"/>
      </w:tblGrid>
      <w:tr w:rsidR="00C53DF1">
        <w:trPr>
          <w:trHeight w:val="36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68" w:lineRule="exact"/>
              <w:ind w:left="1545"/>
              <w:rPr>
                <w:sz w:val="24"/>
              </w:rPr>
            </w:pPr>
            <w:r>
              <w:rPr>
                <w:sz w:val="24"/>
              </w:rPr>
              <w:t>Lectures: 2 hours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495" w:right="934"/>
              <w:jc w:val="center"/>
              <w:rPr>
                <w:sz w:val="24"/>
              </w:rPr>
            </w:pPr>
            <w:r>
              <w:rPr>
                <w:sz w:val="24"/>
              </w:rPr>
              <w:t>Practical classes: 1 hour</w:t>
            </w:r>
          </w:p>
        </w:tc>
      </w:tr>
      <w:tr w:rsidR="00C53DF1">
        <w:trPr>
          <w:trHeight w:val="1214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Antiviral drugs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Antifungal drugs </w:t>
            </w:r>
          </w:p>
          <w:p w:rsidR="00C53DF1" w:rsidRDefault="00C53DF1">
            <w:pPr>
              <w:pStyle w:val="TableParagraph"/>
              <w:rPr>
                <w:sz w:val="24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529"/>
              <w:rPr>
                <w:sz w:val="24"/>
              </w:rPr>
            </w:pPr>
            <w:r>
              <w:rPr>
                <w:sz w:val="24"/>
              </w:rPr>
              <w:t>Candidiasis (clinical problem)</w:t>
            </w:r>
          </w:p>
        </w:tc>
      </w:tr>
    </w:tbl>
    <w:p w:rsidR="00C53DF1" w:rsidRDefault="00C53DF1">
      <w:pPr>
        <w:pStyle w:val="BodyText"/>
        <w:rPr>
          <w:sz w:val="26"/>
        </w:rPr>
      </w:pPr>
    </w:p>
    <w:p w:rsidR="00C53DF1" w:rsidRDefault="002754D0">
      <w:pPr>
        <w:ind w:left="288"/>
        <w:rPr>
          <w:sz w:val="24"/>
        </w:rPr>
      </w:pPr>
      <w:r>
        <w:rPr>
          <w:sz w:val="24"/>
        </w:rPr>
        <w:t>COURSE UNIT</w:t>
      </w:r>
      <w:r>
        <w:rPr>
          <w:spacing w:val="-4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spacing w:val="-2"/>
          <w:sz w:val="24"/>
        </w:rPr>
        <w:t>WEEK 15):</w:t>
      </w:r>
    </w:p>
    <w:p w:rsidR="00C53DF1" w:rsidRDefault="00C53DF1">
      <w:pPr>
        <w:pStyle w:val="BodyText"/>
        <w:rPr>
          <w:sz w:val="10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89"/>
      </w:tblGrid>
      <w:tr w:rsidR="00C53DF1">
        <w:trPr>
          <w:trHeight w:val="369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spacing w:line="268" w:lineRule="exact"/>
              <w:ind w:left="1545"/>
              <w:rPr>
                <w:sz w:val="24"/>
              </w:rPr>
            </w:pPr>
            <w:r>
              <w:rPr>
                <w:sz w:val="24"/>
              </w:rPr>
              <w:t>Lectures: 2 hours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:rsidR="00C53DF1" w:rsidRDefault="002754D0">
            <w:pPr>
              <w:pStyle w:val="TableParagraph"/>
              <w:ind w:left="1495" w:right="934"/>
              <w:jc w:val="center"/>
              <w:rPr>
                <w:sz w:val="24"/>
              </w:rPr>
            </w:pPr>
            <w:r>
              <w:rPr>
                <w:sz w:val="24"/>
              </w:rPr>
              <w:t>Practical classes: 1 hour</w:t>
            </w:r>
          </w:p>
        </w:tc>
      </w:tr>
      <w:tr w:rsidR="00C53DF1">
        <w:trPr>
          <w:trHeight w:val="1214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Medicines</w:t>
            </w:r>
            <w:r>
              <w:rPr>
                <w:sz w:val="24"/>
              </w:rPr>
              <w:t xml:space="preserve"> against helminths</w:t>
            </w:r>
          </w:p>
          <w:p w:rsidR="00C53DF1" w:rsidRDefault="0027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Drugs against protozoa and ectoparasites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</w:tcBorders>
          </w:tcPr>
          <w:p w:rsidR="00C53DF1" w:rsidRDefault="002754D0">
            <w:pPr>
              <w:pStyle w:val="TableParagraph"/>
              <w:ind w:right="529"/>
              <w:rPr>
                <w:sz w:val="24"/>
              </w:rPr>
            </w:pPr>
            <w:r>
              <w:rPr>
                <w:sz w:val="24"/>
              </w:rPr>
              <w:t>Amebiasis (clinical problem)</w:t>
            </w:r>
          </w:p>
        </w:tc>
      </w:tr>
    </w:tbl>
    <w:p w:rsidR="00C53DF1" w:rsidRDefault="00C53DF1">
      <w:pPr>
        <w:rPr>
          <w:sz w:val="24"/>
        </w:rPr>
      </w:pPr>
    </w:p>
    <w:p w:rsidR="00C53DF1" w:rsidRDefault="00C53DF1">
      <w:pPr>
        <w:rPr>
          <w:sz w:val="24"/>
        </w:rPr>
      </w:pPr>
    </w:p>
    <w:p w:rsidR="00C53DF1" w:rsidRDefault="00C53DF1">
      <w:pPr>
        <w:rPr>
          <w:sz w:val="24"/>
        </w:rPr>
      </w:pPr>
    </w:p>
    <w:p w:rsidR="00C53DF1" w:rsidRDefault="002754D0">
      <w:pPr>
        <w:rPr>
          <w:b/>
          <w:bCs/>
          <w:sz w:val="36"/>
          <w:szCs w:val="32"/>
        </w:rPr>
      </w:pPr>
      <w:bookmarkStart w:id="1" w:name="_Hlk145272634"/>
      <w:r>
        <w:rPr>
          <w:b/>
          <w:bCs/>
          <w:sz w:val="36"/>
          <w:szCs w:val="32"/>
        </w:rPr>
        <w:br w:type="page"/>
      </w:r>
    </w:p>
    <w:bookmarkEnd w:id="1"/>
    <w:p w:rsidR="00C53DF1" w:rsidRDefault="00C53DF1">
      <w:pPr>
        <w:rPr>
          <w:sz w:val="24"/>
        </w:rPr>
        <w:sectPr w:rsidR="00C53DF1">
          <w:pgSz w:w="11910" w:h="16850"/>
          <w:pgMar w:top="1340" w:right="540" w:bottom="280" w:left="960" w:header="720" w:footer="720" w:gutter="0"/>
          <w:cols w:space="720"/>
        </w:sectPr>
      </w:pPr>
    </w:p>
    <w:p w:rsidR="00C53DF1" w:rsidRDefault="00C53DF1">
      <w:pPr>
        <w:pStyle w:val="BodyText"/>
        <w:rPr>
          <w:sz w:val="17"/>
        </w:rPr>
      </w:pPr>
    </w:p>
    <w:p w:rsidR="00C53DF1" w:rsidRDefault="002754D0">
      <w:pPr>
        <w:ind w:left="3620" w:right="3621"/>
        <w:jc w:val="center"/>
        <w:rPr>
          <w:b/>
          <w:sz w:val="32"/>
        </w:rPr>
      </w:pPr>
      <w:r>
        <w:rPr>
          <w:b/>
          <w:sz w:val="32"/>
        </w:rPr>
        <w:t>PHARMACOLOGY 2: COURSE SCHEDULE</w:t>
      </w:r>
    </w:p>
    <w:p w:rsidR="00C53DF1" w:rsidRDefault="00C53DF1">
      <w:pPr>
        <w:pStyle w:val="BodyText"/>
        <w:rPr>
          <w:b/>
          <w:sz w:val="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1402"/>
        <w:gridCol w:w="1135"/>
        <w:gridCol w:w="7794"/>
        <w:gridCol w:w="4330"/>
      </w:tblGrid>
      <w:tr w:rsidR="00C53DF1">
        <w:trPr>
          <w:trHeight w:val="397"/>
        </w:trPr>
        <w:tc>
          <w:tcPr>
            <w:tcW w:w="1262" w:type="dxa"/>
            <w:shd w:val="clear" w:color="auto" w:fill="D9D9D9"/>
          </w:tcPr>
          <w:p w:rsidR="00C53DF1" w:rsidRDefault="002754D0">
            <w:pPr>
              <w:pStyle w:val="TableParagraph"/>
              <w:ind w:left="29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Module</w:t>
            </w:r>
          </w:p>
        </w:tc>
        <w:tc>
          <w:tcPr>
            <w:tcW w:w="1402" w:type="dxa"/>
            <w:shd w:val="clear" w:color="auto" w:fill="D9D9D9"/>
          </w:tcPr>
          <w:p w:rsidR="00C53DF1" w:rsidRDefault="002754D0">
            <w:pPr>
              <w:pStyle w:val="TableParagraph"/>
              <w:ind w:left="31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Week</w:t>
            </w:r>
          </w:p>
        </w:tc>
        <w:tc>
          <w:tcPr>
            <w:tcW w:w="1135" w:type="dxa"/>
            <w:shd w:val="clear" w:color="auto" w:fill="D9D9D9"/>
          </w:tcPr>
          <w:p w:rsidR="00C53DF1" w:rsidRDefault="002754D0">
            <w:pPr>
              <w:pStyle w:val="TableParagraph"/>
              <w:ind w:left="252" w:right="2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Type</w:t>
            </w:r>
          </w:p>
        </w:tc>
        <w:tc>
          <w:tcPr>
            <w:tcW w:w="7794" w:type="dxa"/>
            <w:shd w:val="clear" w:color="auto" w:fill="D9D9D9"/>
          </w:tcPr>
          <w:p w:rsidR="00C53DF1" w:rsidRDefault="002754D0">
            <w:pPr>
              <w:pStyle w:val="TableParagraph"/>
              <w:ind w:left="2633" w:right="26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4330" w:type="dxa"/>
            <w:shd w:val="clear" w:color="auto" w:fill="D9D9D9"/>
          </w:tcPr>
          <w:p w:rsidR="00C53DF1" w:rsidRDefault="002754D0">
            <w:pPr>
              <w:pStyle w:val="TableParagraph"/>
              <w:ind w:left="1608" w:right="159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Teacher</w:t>
            </w:r>
          </w:p>
        </w:tc>
      </w:tr>
      <w:tr w:rsidR="00C53DF1">
        <w:trPr>
          <w:trHeight w:val="678"/>
        </w:trPr>
        <w:tc>
          <w:tcPr>
            <w:tcW w:w="1262" w:type="dxa"/>
            <w:vMerge w:val="restart"/>
            <w:vAlign w:val="center"/>
          </w:tcPr>
          <w:p w:rsidR="00C53DF1" w:rsidRDefault="002754D0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02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Antiulcer drugs</w:t>
            </w:r>
          </w:p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Pharmacotherapy of gastroesophageal reflux disease </w:t>
            </w:r>
          </w:p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Helicobacter pylori - detection and eradication </w:t>
            </w:r>
          </w:p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Hydrochloric acid and enzymes of the digestive tract</w:t>
            </w:r>
          </w:p>
        </w:tc>
        <w:tc>
          <w:tcPr>
            <w:tcW w:w="4330" w:type="dxa"/>
            <w:vMerge w:val="restart"/>
          </w:tcPr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 Pejčić</w:t>
            </w:r>
          </w:p>
        </w:tc>
      </w:tr>
      <w:tr w:rsidR="00C53DF1">
        <w:trPr>
          <w:trHeight w:val="253"/>
        </w:trPr>
        <w:tc>
          <w:tcPr>
            <w:tcW w:w="1262" w:type="dxa"/>
            <w:vMerge/>
          </w:tcPr>
          <w:p w:rsidR="00C53DF1" w:rsidRDefault="00C53DF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Peptic ulcer (clinical problem)</w:t>
            </w:r>
          </w:p>
        </w:tc>
        <w:tc>
          <w:tcPr>
            <w:tcW w:w="4330" w:type="dxa"/>
            <w:vMerge/>
          </w:tcPr>
          <w:p w:rsidR="00C53DF1" w:rsidRDefault="00C53DF1">
            <w:pPr>
              <w:pStyle w:val="TableParagraph"/>
              <w:spacing w:line="217" w:lineRule="exact"/>
              <w:ind w:left="108"/>
              <w:rPr>
                <w:sz w:val="24"/>
                <w:szCs w:val="24"/>
              </w:rPr>
            </w:pPr>
          </w:p>
        </w:tc>
      </w:tr>
      <w:tr w:rsidR="00C53DF1">
        <w:trPr>
          <w:trHeight w:val="679"/>
        </w:trPr>
        <w:tc>
          <w:tcPr>
            <w:tcW w:w="1262" w:type="dxa"/>
            <w:vMerge/>
          </w:tcPr>
          <w:p w:rsidR="00C53DF1" w:rsidRDefault="00C53DF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spacing w:line="242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Antiemetics and emetics</w:t>
            </w:r>
          </w:p>
          <w:p w:rsidR="00C53DF1" w:rsidRDefault="002754D0">
            <w:pPr>
              <w:pStyle w:val="TableParagraph"/>
              <w:spacing w:line="242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Antiemetic protocols depending on the cause of vomiting </w:t>
            </w:r>
          </w:p>
          <w:p w:rsidR="00C53DF1" w:rsidRDefault="002754D0">
            <w:pPr>
              <w:pStyle w:val="TableParagraph"/>
              <w:spacing w:line="242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Enteral and </w:t>
            </w:r>
            <w:r>
              <w:rPr>
                <w:sz w:val="24"/>
                <w:szCs w:val="24"/>
              </w:rPr>
              <w:t>parenteral nutrition</w:t>
            </w:r>
          </w:p>
        </w:tc>
        <w:tc>
          <w:tcPr>
            <w:tcW w:w="4330" w:type="dxa"/>
            <w:vMerge w:val="restart"/>
          </w:tcPr>
          <w:p w:rsidR="00C53DF1" w:rsidRDefault="002754D0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Marina Kostić</w:t>
            </w:r>
          </w:p>
        </w:tc>
      </w:tr>
      <w:tr w:rsidR="00C53DF1">
        <w:trPr>
          <w:trHeight w:val="255"/>
        </w:trPr>
        <w:tc>
          <w:tcPr>
            <w:tcW w:w="1262" w:type="dxa"/>
            <w:vMerge/>
          </w:tcPr>
          <w:p w:rsidR="00C53DF1" w:rsidRDefault="00C53DF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Diarrhea (clinical problem)</w:t>
            </w:r>
          </w:p>
        </w:tc>
        <w:tc>
          <w:tcPr>
            <w:tcW w:w="4330" w:type="dxa"/>
            <w:vMerge/>
          </w:tcPr>
          <w:p w:rsidR="00C53DF1" w:rsidRDefault="00C53DF1">
            <w:pPr>
              <w:pStyle w:val="TableParagraph"/>
              <w:ind w:left="110" w:right="1405"/>
              <w:jc w:val="both"/>
              <w:rPr>
                <w:sz w:val="24"/>
                <w:szCs w:val="24"/>
              </w:rPr>
            </w:pPr>
          </w:p>
        </w:tc>
      </w:tr>
      <w:tr w:rsidR="00C53DF1">
        <w:trPr>
          <w:trHeight w:val="678"/>
        </w:trPr>
        <w:tc>
          <w:tcPr>
            <w:tcW w:w="1262" w:type="dxa"/>
            <w:vMerge/>
          </w:tcPr>
          <w:p w:rsidR="00C53DF1" w:rsidRDefault="00C53DF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ind w:left="108" w:right="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Laxatives and antidiarrheals</w:t>
            </w:r>
          </w:p>
          <w:p w:rsidR="00C53DF1" w:rsidRDefault="002754D0">
            <w:pPr>
              <w:pStyle w:val="TableParagraph"/>
              <w:ind w:left="108" w:right="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Pharmacotherapy of inflammatory bowel diseases </w:t>
            </w:r>
          </w:p>
          <w:p w:rsidR="00C53DF1" w:rsidRDefault="002754D0">
            <w:pPr>
              <w:pStyle w:val="TableParagraph"/>
              <w:ind w:left="108" w:right="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Prokinetics, spasmolytics and other drugs</w:t>
            </w:r>
          </w:p>
        </w:tc>
        <w:tc>
          <w:tcPr>
            <w:tcW w:w="4330" w:type="dxa"/>
            <w:vMerge w:val="restart"/>
          </w:tcPr>
          <w:p w:rsidR="00C53DF1" w:rsidRDefault="002754D0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Radica Živković Zarić</w:t>
            </w:r>
          </w:p>
        </w:tc>
      </w:tr>
      <w:tr w:rsidR="00C53DF1">
        <w:trPr>
          <w:trHeight w:val="257"/>
        </w:trPr>
        <w:tc>
          <w:tcPr>
            <w:tcW w:w="1262" w:type="dxa"/>
            <w:vMerge/>
          </w:tcPr>
          <w:p w:rsidR="00C53DF1" w:rsidRDefault="00C53DF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Constipation (clinical problem)</w:t>
            </w:r>
          </w:p>
        </w:tc>
        <w:tc>
          <w:tcPr>
            <w:tcW w:w="4330" w:type="dxa"/>
            <w:vMerge/>
          </w:tcPr>
          <w:p w:rsidR="00C53DF1" w:rsidRDefault="00C53DF1">
            <w:pPr>
              <w:pStyle w:val="TableParagraph"/>
              <w:spacing w:line="217" w:lineRule="exact"/>
              <w:ind w:left="108"/>
              <w:rPr>
                <w:sz w:val="24"/>
                <w:szCs w:val="24"/>
              </w:rPr>
            </w:pPr>
          </w:p>
        </w:tc>
      </w:tr>
      <w:tr w:rsidR="00C53DF1">
        <w:trPr>
          <w:trHeight w:val="681"/>
        </w:trPr>
        <w:tc>
          <w:tcPr>
            <w:tcW w:w="1262" w:type="dxa"/>
            <w:vMerge/>
          </w:tcPr>
          <w:p w:rsidR="00C53DF1" w:rsidRDefault="00C53DF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ind w:left="108"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Medicines in the therapy of coagulation disorders, water and electrolytes and blood preparations</w:t>
            </w:r>
          </w:p>
          <w:p w:rsidR="00C53DF1" w:rsidRDefault="002754D0">
            <w:pPr>
              <w:pStyle w:val="TableParagraph"/>
              <w:ind w:left="108" w:right="25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Medicines in the treatment of anemia </w:t>
            </w:r>
          </w:p>
          <w:p w:rsidR="00C53DF1" w:rsidRDefault="002754D0">
            <w:pPr>
              <w:pStyle w:val="TableParagraph"/>
              <w:ind w:left="108" w:right="25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Hematopoietic growth factors</w:t>
            </w:r>
          </w:p>
        </w:tc>
        <w:tc>
          <w:tcPr>
            <w:tcW w:w="4330" w:type="dxa"/>
            <w:vMerge w:val="restart"/>
          </w:tcPr>
          <w:p w:rsidR="00C53DF1" w:rsidRDefault="002754D0">
            <w:pPr>
              <w:pStyle w:val="TableParagraph"/>
              <w:ind w:left="11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Ana Pejčić</w:t>
            </w:r>
          </w:p>
        </w:tc>
      </w:tr>
      <w:tr w:rsidR="00C53DF1">
        <w:trPr>
          <w:trHeight w:val="278"/>
        </w:trPr>
        <w:tc>
          <w:tcPr>
            <w:tcW w:w="1262" w:type="dxa"/>
            <w:vMerge/>
          </w:tcPr>
          <w:p w:rsidR="00C53DF1" w:rsidRDefault="00C53DF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Anemia (clinical problem)</w:t>
            </w:r>
          </w:p>
        </w:tc>
        <w:tc>
          <w:tcPr>
            <w:tcW w:w="4330" w:type="dxa"/>
            <w:vMerge/>
          </w:tcPr>
          <w:p w:rsidR="00C53DF1" w:rsidRDefault="00C53DF1">
            <w:pPr>
              <w:pStyle w:val="TableParagraph"/>
              <w:ind w:left="110" w:right="1405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C53DF1">
        <w:trPr>
          <w:trHeight w:val="846"/>
        </w:trPr>
        <w:tc>
          <w:tcPr>
            <w:tcW w:w="1262" w:type="dxa"/>
            <w:vMerge/>
          </w:tcPr>
          <w:p w:rsidR="00C53DF1" w:rsidRDefault="00C53DF1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Pharmacology of hypothalamic, </w:t>
            </w:r>
            <w:r>
              <w:rPr>
                <w:sz w:val="24"/>
                <w:szCs w:val="24"/>
              </w:rPr>
              <w:t>pituitary, and sex hormones</w:t>
            </w:r>
          </w:p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Thyroid hormones and antithyroid drugs </w:t>
            </w:r>
          </w:p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Pharmacology of vitamins</w:t>
            </w:r>
          </w:p>
        </w:tc>
        <w:tc>
          <w:tcPr>
            <w:tcW w:w="4330" w:type="dxa"/>
            <w:vMerge w:val="restart"/>
          </w:tcPr>
          <w:p w:rsidR="00C53DF1" w:rsidRDefault="002754D0">
            <w:pPr>
              <w:pStyle w:val="TableParagraph"/>
              <w:ind w:left="108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Ana Pejčić</w:t>
            </w:r>
          </w:p>
        </w:tc>
      </w:tr>
      <w:tr w:rsidR="00C53DF1">
        <w:trPr>
          <w:trHeight w:val="280"/>
        </w:trPr>
        <w:tc>
          <w:tcPr>
            <w:tcW w:w="1262" w:type="dxa"/>
            <w:vMerge/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C53DF1" w:rsidRDefault="002754D0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Hyperthyroidism (clinical problem)</w:t>
            </w:r>
          </w:p>
        </w:tc>
        <w:tc>
          <w:tcPr>
            <w:tcW w:w="4330" w:type="dxa"/>
            <w:vMerge/>
          </w:tcPr>
          <w:p w:rsidR="00C53DF1" w:rsidRDefault="00C53DF1">
            <w:pPr>
              <w:pStyle w:val="TableParagraph"/>
              <w:ind w:left="108" w:right="1605"/>
              <w:jc w:val="both"/>
              <w:rPr>
                <w:sz w:val="24"/>
                <w:szCs w:val="24"/>
              </w:rPr>
            </w:pPr>
          </w:p>
        </w:tc>
      </w:tr>
    </w:tbl>
    <w:p w:rsidR="00C53DF1" w:rsidRDefault="00C53DF1">
      <w:pPr>
        <w:jc w:val="center"/>
        <w:rPr>
          <w:sz w:val="28"/>
        </w:rPr>
        <w:sectPr w:rsidR="00C53DF1">
          <w:pgSz w:w="16850" w:h="11910" w:orient="landscape"/>
          <w:pgMar w:top="1140" w:right="340" w:bottom="280" w:left="340" w:header="720" w:footer="720" w:gutter="0"/>
          <w:cols w:space="720"/>
        </w:sectPr>
      </w:pPr>
    </w:p>
    <w:p w:rsidR="00C53DF1" w:rsidRDefault="002754D0">
      <w:pPr>
        <w:ind w:left="3620" w:right="3621"/>
        <w:jc w:val="center"/>
        <w:rPr>
          <w:b/>
          <w:sz w:val="32"/>
        </w:rPr>
      </w:pPr>
      <w:r>
        <w:rPr>
          <w:b/>
          <w:sz w:val="32"/>
        </w:rPr>
        <w:t>PHARMACOLOGY 2: COURSE SCHEDULE</w:t>
      </w:r>
    </w:p>
    <w:p w:rsidR="00C53DF1" w:rsidRDefault="00C53DF1">
      <w:pPr>
        <w:pStyle w:val="BodyText"/>
        <w:rPr>
          <w:b/>
          <w:sz w:val="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8"/>
        <w:gridCol w:w="1401"/>
        <w:gridCol w:w="1139"/>
        <w:gridCol w:w="7793"/>
        <w:gridCol w:w="4329"/>
      </w:tblGrid>
      <w:tr w:rsidR="00C53DF1">
        <w:trPr>
          <w:trHeight w:val="397"/>
        </w:trPr>
        <w:tc>
          <w:tcPr>
            <w:tcW w:w="1258" w:type="dxa"/>
            <w:shd w:val="clear" w:color="auto" w:fill="D9D9D9"/>
          </w:tcPr>
          <w:p w:rsidR="00C53DF1" w:rsidRDefault="002754D0">
            <w:pPr>
              <w:pStyle w:val="TableParagraph"/>
              <w:ind w:left="29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Module</w:t>
            </w:r>
          </w:p>
        </w:tc>
        <w:tc>
          <w:tcPr>
            <w:tcW w:w="1401" w:type="dxa"/>
            <w:shd w:val="clear" w:color="auto" w:fill="D9D9D9"/>
          </w:tcPr>
          <w:p w:rsidR="00C53DF1" w:rsidRDefault="002754D0">
            <w:pPr>
              <w:pStyle w:val="TableParagraph"/>
              <w:ind w:left="31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Week</w:t>
            </w:r>
          </w:p>
        </w:tc>
        <w:tc>
          <w:tcPr>
            <w:tcW w:w="1139" w:type="dxa"/>
            <w:shd w:val="clear" w:color="auto" w:fill="D9D9D9"/>
          </w:tcPr>
          <w:p w:rsidR="00C53DF1" w:rsidRDefault="002754D0">
            <w:pPr>
              <w:pStyle w:val="TableParagraph"/>
              <w:ind w:left="252" w:right="2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Type</w:t>
            </w:r>
          </w:p>
        </w:tc>
        <w:tc>
          <w:tcPr>
            <w:tcW w:w="7793" w:type="dxa"/>
            <w:shd w:val="clear" w:color="auto" w:fill="D9D9D9"/>
          </w:tcPr>
          <w:p w:rsidR="00C53DF1" w:rsidRDefault="002754D0">
            <w:pPr>
              <w:pStyle w:val="TableParagraph"/>
              <w:ind w:left="2633" w:right="26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4329" w:type="dxa"/>
            <w:shd w:val="clear" w:color="auto" w:fill="D9D9D9"/>
          </w:tcPr>
          <w:p w:rsidR="00C53DF1" w:rsidRDefault="002754D0">
            <w:pPr>
              <w:pStyle w:val="TableParagraph"/>
              <w:ind w:left="1608" w:right="159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Teacher</w:t>
            </w:r>
          </w:p>
        </w:tc>
      </w:tr>
      <w:tr w:rsidR="00C53DF1">
        <w:trPr>
          <w:trHeight w:val="678"/>
        </w:trPr>
        <w:tc>
          <w:tcPr>
            <w:tcW w:w="1258" w:type="dxa"/>
            <w:vMerge w:val="restart"/>
            <w:vAlign w:val="center"/>
          </w:tcPr>
          <w:p w:rsidR="00C53DF1" w:rsidRDefault="002754D0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Insulin and oral </w:t>
            </w:r>
            <w:r>
              <w:rPr>
                <w:sz w:val="24"/>
                <w:szCs w:val="24"/>
              </w:rPr>
              <w:t>antidiabetics</w:t>
            </w:r>
          </w:p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Hyperglycemic agents </w:t>
            </w:r>
          </w:p>
        </w:tc>
        <w:tc>
          <w:tcPr>
            <w:tcW w:w="4329" w:type="dxa"/>
            <w:vMerge w:val="restart"/>
          </w:tcPr>
          <w:p w:rsidR="00C53DF1" w:rsidRDefault="002754D0">
            <w:pPr>
              <w:ind w:left="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 Pejčić</w:t>
            </w:r>
          </w:p>
        </w:tc>
      </w:tr>
      <w:tr w:rsidR="00C53DF1">
        <w:trPr>
          <w:trHeight w:val="301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Hyperglycemic coma (clinical problem)</w:t>
            </w:r>
          </w:p>
        </w:tc>
        <w:tc>
          <w:tcPr>
            <w:tcW w:w="4329" w:type="dxa"/>
            <w:vMerge/>
          </w:tcPr>
          <w:p w:rsidR="00C53DF1" w:rsidRDefault="00C53DF1">
            <w:pPr>
              <w:ind w:left="51"/>
              <w:rPr>
                <w:sz w:val="24"/>
                <w:szCs w:val="24"/>
              </w:rPr>
            </w:pPr>
          </w:p>
        </w:tc>
      </w:tr>
      <w:tr w:rsidR="00C53DF1">
        <w:trPr>
          <w:trHeight w:val="624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Adrenal cortex hormones</w:t>
            </w:r>
          </w:p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Inhibitors of adrenal cortex hormone synthesis</w:t>
            </w:r>
          </w:p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Corticosteroids for systemic and local use</w:t>
            </w:r>
          </w:p>
        </w:tc>
        <w:tc>
          <w:tcPr>
            <w:tcW w:w="4329" w:type="dxa"/>
            <w:vMerge w:val="restart"/>
          </w:tcPr>
          <w:p w:rsidR="00C53DF1" w:rsidRDefault="002754D0">
            <w:pPr>
              <w:pStyle w:val="TableParagraph"/>
              <w:ind w:left="51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Ana Pejčić</w:t>
            </w:r>
          </w:p>
        </w:tc>
      </w:tr>
      <w:tr w:rsidR="00C53DF1">
        <w:trPr>
          <w:trHeight w:val="275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Addison's disease (clinical </w:t>
            </w:r>
            <w:r>
              <w:rPr>
                <w:sz w:val="24"/>
                <w:szCs w:val="24"/>
              </w:rPr>
              <w:t>problem)</w:t>
            </w:r>
          </w:p>
        </w:tc>
        <w:tc>
          <w:tcPr>
            <w:tcW w:w="4329" w:type="dxa"/>
            <w:vMerge/>
          </w:tcPr>
          <w:p w:rsidR="00C53DF1" w:rsidRDefault="00C53DF1">
            <w:pPr>
              <w:pStyle w:val="TableParagraph"/>
              <w:ind w:left="51"/>
              <w:rPr>
                <w:sz w:val="24"/>
                <w:szCs w:val="24"/>
              </w:rPr>
            </w:pPr>
          </w:p>
        </w:tc>
      </w:tr>
      <w:tr w:rsidR="00C53DF1">
        <w:trPr>
          <w:trHeight w:val="623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tabs>
                <w:tab w:val="left" w:pos="3301"/>
              </w:tabs>
              <w:ind w:left="109"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Calcium, parathyroid hormone and vitamin D</w:t>
            </w:r>
          </w:p>
          <w:p w:rsidR="00C53DF1" w:rsidRDefault="002754D0">
            <w:pPr>
              <w:pStyle w:val="TableParagraph"/>
              <w:tabs>
                <w:tab w:val="left" w:pos="3301"/>
              </w:tabs>
              <w:ind w:left="109"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medicines for bone metabolism disorders</w:t>
            </w:r>
          </w:p>
          <w:p w:rsidR="00C53DF1" w:rsidRDefault="002754D0">
            <w:pPr>
              <w:pStyle w:val="TableParagraph"/>
              <w:tabs>
                <w:tab w:val="left" w:pos="3301"/>
              </w:tabs>
              <w:ind w:left="109"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Bisphosphonate preparations - comparative pharmacology</w:t>
            </w:r>
          </w:p>
        </w:tc>
        <w:tc>
          <w:tcPr>
            <w:tcW w:w="4329" w:type="dxa"/>
            <w:vMerge w:val="restart"/>
          </w:tcPr>
          <w:p w:rsidR="00C53DF1" w:rsidRDefault="002754D0">
            <w:pPr>
              <w:ind w:left="51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Ana Pejčić</w:t>
            </w:r>
          </w:p>
        </w:tc>
      </w:tr>
      <w:tr w:rsidR="00C53DF1">
        <w:trPr>
          <w:trHeight w:val="291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Osteoporosis (clinical problem)</w:t>
            </w:r>
          </w:p>
        </w:tc>
        <w:tc>
          <w:tcPr>
            <w:tcW w:w="4329" w:type="dxa"/>
            <w:vMerge/>
          </w:tcPr>
          <w:p w:rsidR="00C53DF1" w:rsidRDefault="00C53DF1">
            <w:pPr>
              <w:ind w:left="51"/>
              <w:rPr>
                <w:sz w:val="24"/>
                <w:szCs w:val="24"/>
              </w:rPr>
            </w:pPr>
          </w:p>
        </w:tc>
      </w:tr>
      <w:tr w:rsidR="00C53DF1">
        <w:trPr>
          <w:trHeight w:val="688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 w:right="19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Chemotherapy of malignant diseases</w:t>
            </w:r>
          </w:p>
          <w:p w:rsidR="00C53DF1" w:rsidRDefault="002754D0">
            <w:pPr>
              <w:pStyle w:val="TableParagraph"/>
              <w:ind w:left="109" w:right="19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Adverse effects of cytostatics and their treatment Preparation of cytotoxic drugs and protective measures</w:t>
            </w:r>
          </w:p>
        </w:tc>
        <w:tc>
          <w:tcPr>
            <w:tcW w:w="4329" w:type="dxa"/>
            <w:vMerge w:val="restart"/>
          </w:tcPr>
          <w:p w:rsidR="00C53DF1" w:rsidRDefault="002754D0">
            <w:pPr>
              <w:pStyle w:val="TableParagrap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Ana Pejčić</w:t>
            </w:r>
          </w:p>
        </w:tc>
      </w:tr>
      <w:tr w:rsidR="00C53DF1">
        <w:trPr>
          <w:trHeight w:val="293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 w:right="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Leukemia (clinical problem)</w:t>
            </w:r>
          </w:p>
        </w:tc>
        <w:tc>
          <w:tcPr>
            <w:tcW w:w="4329" w:type="dxa"/>
            <w:vMerge/>
          </w:tcPr>
          <w:p w:rsidR="00C53DF1" w:rsidRDefault="00C53DF1">
            <w:pPr>
              <w:pStyle w:val="TableParagraph"/>
              <w:ind w:left="51"/>
              <w:rPr>
                <w:sz w:val="24"/>
                <w:szCs w:val="24"/>
              </w:rPr>
            </w:pPr>
          </w:p>
        </w:tc>
      </w:tr>
      <w:tr w:rsidR="00C53DF1">
        <w:trPr>
          <w:trHeight w:val="678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 w:right="17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Immunosuppressive drugs</w:t>
            </w:r>
          </w:p>
          <w:p w:rsidR="00C53DF1" w:rsidRDefault="002754D0">
            <w:pPr>
              <w:pStyle w:val="TableParagraph"/>
              <w:ind w:left="109" w:right="17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Immunostimulants and monoclonal antibodies</w:t>
            </w:r>
          </w:p>
        </w:tc>
        <w:tc>
          <w:tcPr>
            <w:tcW w:w="4329" w:type="dxa"/>
            <w:vMerge w:val="restart"/>
          </w:tcPr>
          <w:p w:rsidR="00C53DF1" w:rsidRDefault="002754D0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 Pejčić</w:t>
            </w:r>
          </w:p>
        </w:tc>
      </w:tr>
      <w:tr w:rsidR="00C53DF1">
        <w:trPr>
          <w:trHeight w:val="294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Skin </w:t>
            </w:r>
            <w:r>
              <w:rPr>
                <w:sz w:val="24"/>
                <w:szCs w:val="24"/>
              </w:rPr>
              <w:t>carcinoma lesion (clinical problem)</w:t>
            </w:r>
          </w:p>
        </w:tc>
        <w:tc>
          <w:tcPr>
            <w:tcW w:w="4329" w:type="dxa"/>
            <w:vMerge/>
          </w:tcPr>
          <w:p w:rsidR="00C53DF1" w:rsidRDefault="00C53DF1">
            <w:pPr>
              <w:ind w:left="51"/>
              <w:rPr>
                <w:sz w:val="24"/>
                <w:szCs w:val="24"/>
              </w:rPr>
            </w:pPr>
          </w:p>
        </w:tc>
      </w:tr>
      <w:tr w:rsidR="00C53DF1">
        <w:trPr>
          <w:trHeight w:val="625"/>
        </w:trPr>
        <w:tc>
          <w:tcPr>
            <w:tcW w:w="1258" w:type="dxa"/>
            <w:vMerge/>
          </w:tcPr>
          <w:p w:rsidR="00C53DF1" w:rsidRDefault="00C53DF1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Basic principles of antibiotic therapy</w:t>
            </w:r>
          </w:p>
          <w:p w:rsidR="00C53DF1" w:rsidRDefault="002754D0">
            <w:pPr>
              <w:pStyle w:val="TableParagraph"/>
              <w:ind w:left="109"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Inhibitors of cell wall synthesis </w:t>
            </w:r>
          </w:p>
          <w:p w:rsidR="00C53DF1" w:rsidRDefault="002754D0">
            <w:pPr>
              <w:pStyle w:val="TableParagraph"/>
              <w:ind w:left="109"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Antibiotics for local application</w:t>
            </w:r>
          </w:p>
          <w:p w:rsidR="00C53DF1" w:rsidRDefault="002754D0">
            <w:pPr>
              <w:pStyle w:val="TableParagraph"/>
              <w:ind w:left="109" w:righ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Antiseptics and disinfectants - production and preparation</w:t>
            </w:r>
          </w:p>
        </w:tc>
        <w:tc>
          <w:tcPr>
            <w:tcW w:w="4329" w:type="dxa"/>
            <w:vMerge w:val="restart"/>
          </w:tcPr>
          <w:p w:rsidR="00C53DF1" w:rsidRDefault="002754D0">
            <w:pPr>
              <w:pStyle w:val="TableParagraph"/>
              <w:ind w:left="51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Miloš Milosavljević</w:t>
            </w:r>
          </w:p>
        </w:tc>
      </w:tr>
      <w:tr w:rsidR="00C53DF1">
        <w:trPr>
          <w:trHeight w:val="299"/>
        </w:trPr>
        <w:tc>
          <w:tcPr>
            <w:tcW w:w="1258" w:type="dxa"/>
            <w:vMerge/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Pneumonia (clinical problem)</w:t>
            </w:r>
          </w:p>
        </w:tc>
        <w:tc>
          <w:tcPr>
            <w:tcW w:w="4329" w:type="dxa"/>
            <w:vMerge/>
          </w:tcPr>
          <w:p w:rsidR="00C53DF1" w:rsidRDefault="00C53DF1">
            <w:pPr>
              <w:pStyle w:val="TableParagraph"/>
              <w:ind w:left="110" w:right="1405"/>
              <w:jc w:val="both"/>
              <w:rPr>
                <w:sz w:val="24"/>
                <w:szCs w:val="24"/>
              </w:rPr>
            </w:pPr>
          </w:p>
        </w:tc>
      </w:tr>
    </w:tbl>
    <w:p w:rsidR="00C53DF1" w:rsidRDefault="00C53DF1">
      <w:pPr>
        <w:spacing w:line="228" w:lineRule="exact"/>
        <w:rPr>
          <w:sz w:val="20"/>
        </w:rPr>
        <w:sectPr w:rsidR="00C53DF1">
          <w:pgSz w:w="16850" w:h="11910" w:orient="landscape"/>
          <w:pgMar w:top="1140" w:right="340" w:bottom="280" w:left="340" w:header="720" w:footer="720" w:gutter="0"/>
          <w:cols w:space="720"/>
        </w:sectPr>
      </w:pPr>
    </w:p>
    <w:p w:rsidR="00C53DF1" w:rsidRDefault="002754D0">
      <w:pPr>
        <w:ind w:left="3620" w:right="3621"/>
        <w:jc w:val="center"/>
        <w:rPr>
          <w:b/>
          <w:sz w:val="32"/>
        </w:rPr>
      </w:pPr>
      <w:r>
        <w:rPr>
          <w:b/>
          <w:sz w:val="32"/>
        </w:rPr>
        <w:t>PHARMACOLOGY 2: COURSE SCHEDULE</w:t>
      </w:r>
    </w:p>
    <w:p w:rsidR="00C53DF1" w:rsidRDefault="00C53DF1">
      <w:pPr>
        <w:pStyle w:val="BodyText"/>
        <w:rPr>
          <w:b/>
          <w:sz w:val="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8"/>
        <w:gridCol w:w="1401"/>
        <w:gridCol w:w="1139"/>
        <w:gridCol w:w="7793"/>
        <w:gridCol w:w="4329"/>
      </w:tblGrid>
      <w:tr w:rsidR="00C53DF1">
        <w:trPr>
          <w:trHeight w:val="397"/>
        </w:trPr>
        <w:tc>
          <w:tcPr>
            <w:tcW w:w="1258" w:type="dxa"/>
            <w:shd w:val="clear" w:color="auto" w:fill="D9D9D9"/>
          </w:tcPr>
          <w:p w:rsidR="00C53DF1" w:rsidRDefault="002754D0">
            <w:pPr>
              <w:pStyle w:val="TableParagraph"/>
              <w:ind w:left="29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Module</w:t>
            </w:r>
          </w:p>
        </w:tc>
        <w:tc>
          <w:tcPr>
            <w:tcW w:w="1401" w:type="dxa"/>
            <w:shd w:val="clear" w:color="auto" w:fill="D9D9D9"/>
          </w:tcPr>
          <w:p w:rsidR="00C53DF1" w:rsidRDefault="002754D0">
            <w:pPr>
              <w:pStyle w:val="TableParagraph"/>
              <w:ind w:left="31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Week</w:t>
            </w:r>
          </w:p>
        </w:tc>
        <w:tc>
          <w:tcPr>
            <w:tcW w:w="1139" w:type="dxa"/>
            <w:shd w:val="clear" w:color="auto" w:fill="D9D9D9"/>
          </w:tcPr>
          <w:p w:rsidR="00C53DF1" w:rsidRDefault="002754D0">
            <w:pPr>
              <w:pStyle w:val="TableParagraph"/>
              <w:ind w:left="252" w:right="2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Type</w:t>
            </w:r>
          </w:p>
        </w:tc>
        <w:tc>
          <w:tcPr>
            <w:tcW w:w="7793" w:type="dxa"/>
            <w:shd w:val="clear" w:color="auto" w:fill="D9D9D9"/>
          </w:tcPr>
          <w:p w:rsidR="00C53DF1" w:rsidRDefault="002754D0">
            <w:pPr>
              <w:pStyle w:val="TableParagraph"/>
              <w:ind w:left="2633" w:right="26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4329" w:type="dxa"/>
            <w:shd w:val="clear" w:color="auto" w:fill="D9D9D9"/>
          </w:tcPr>
          <w:p w:rsidR="00C53DF1" w:rsidRDefault="002754D0">
            <w:pPr>
              <w:pStyle w:val="TableParagraph"/>
              <w:ind w:left="1608" w:right="159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Teacher</w:t>
            </w:r>
          </w:p>
        </w:tc>
      </w:tr>
      <w:tr w:rsidR="00C53DF1">
        <w:trPr>
          <w:trHeight w:val="623"/>
        </w:trPr>
        <w:tc>
          <w:tcPr>
            <w:tcW w:w="1258" w:type="dxa"/>
            <w:vMerge w:val="restart"/>
            <w:vAlign w:val="center"/>
          </w:tcPr>
          <w:p w:rsidR="00C53DF1" w:rsidRDefault="002754D0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Inhibitors of protein synthesis</w:t>
            </w:r>
          </w:p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Sulfonamides, quinolones, uroantiseptics </w:t>
            </w:r>
          </w:p>
        </w:tc>
        <w:tc>
          <w:tcPr>
            <w:tcW w:w="4329" w:type="dxa"/>
            <w:vMerge w:val="restart"/>
          </w:tcPr>
          <w:p w:rsidR="00C53DF1" w:rsidRDefault="002754D0">
            <w:r>
              <w:rPr>
                <w:sz w:val="24"/>
                <w:szCs w:val="24"/>
              </w:rPr>
              <w:t xml:space="preserve"> Miloš Milosavljević</w:t>
            </w:r>
          </w:p>
        </w:tc>
      </w:tr>
      <w:tr w:rsidR="00C53DF1">
        <w:trPr>
          <w:trHeight w:val="209"/>
        </w:trPr>
        <w:tc>
          <w:tcPr>
            <w:tcW w:w="1258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Pyelonephritis (clinical problem)</w:t>
            </w:r>
          </w:p>
        </w:tc>
        <w:tc>
          <w:tcPr>
            <w:tcW w:w="4329" w:type="dxa"/>
            <w:vMerge/>
          </w:tcPr>
          <w:p w:rsidR="00C53DF1" w:rsidRDefault="00C53DF1">
            <w:pPr>
              <w:pStyle w:val="TableParagraph"/>
              <w:ind w:left="110" w:right="1405"/>
              <w:jc w:val="both"/>
              <w:rPr>
                <w:sz w:val="24"/>
                <w:szCs w:val="24"/>
              </w:rPr>
            </w:pPr>
          </w:p>
        </w:tc>
      </w:tr>
      <w:tr w:rsidR="00C53DF1">
        <w:trPr>
          <w:trHeight w:val="623"/>
        </w:trPr>
        <w:tc>
          <w:tcPr>
            <w:tcW w:w="1258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tabs>
                <w:tab w:val="left" w:pos="3442"/>
              </w:tabs>
              <w:ind w:left="109" w:right="19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antibacterial drugs</w:t>
            </w:r>
          </w:p>
          <w:p w:rsidR="00C53DF1" w:rsidRDefault="002754D0">
            <w:pPr>
              <w:pStyle w:val="TableParagraph"/>
              <w:tabs>
                <w:tab w:val="left" w:pos="3442"/>
              </w:tabs>
              <w:ind w:left="109" w:right="19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Antituberculotic drugs</w:t>
            </w:r>
          </w:p>
        </w:tc>
        <w:tc>
          <w:tcPr>
            <w:tcW w:w="4329" w:type="dxa"/>
            <w:vMerge w:val="restart"/>
          </w:tcPr>
          <w:p w:rsidR="00C53DF1" w:rsidRDefault="002754D0">
            <w:r>
              <w:rPr>
                <w:sz w:val="24"/>
                <w:szCs w:val="24"/>
              </w:rPr>
              <w:t xml:space="preserve"> Miloš Milosavljević</w:t>
            </w:r>
          </w:p>
        </w:tc>
      </w:tr>
      <w:tr w:rsidR="00C53DF1">
        <w:trPr>
          <w:trHeight w:val="280"/>
        </w:trPr>
        <w:tc>
          <w:tcPr>
            <w:tcW w:w="1258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Osteomyelitis (clinical problem)</w:t>
            </w:r>
          </w:p>
        </w:tc>
        <w:tc>
          <w:tcPr>
            <w:tcW w:w="4329" w:type="dxa"/>
            <w:vMerge/>
          </w:tcPr>
          <w:p w:rsidR="00C53DF1" w:rsidRDefault="00C53DF1">
            <w:pPr>
              <w:ind w:left="110"/>
              <w:rPr>
                <w:sz w:val="24"/>
                <w:szCs w:val="24"/>
              </w:rPr>
            </w:pPr>
          </w:p>
        </w:tc>
      </w:tr>
      <w:tr w:rsidR="00C53DF1">
        <w:trPr>
          <w:trHeight w:val="623"/>
        </w:trPr>
        <w:tc>
          <w:tcPr>
            <w:tcW w:w="1258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Antiviral drugs</w:t>
            </w:r>
          </w:p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Antifungal drugs </w:t>
            </w:r>
          </w:p>
        </w:tc>
        <w:tc>
          <w:tcPr>
            <w:tcW w:w="4329" w:type="dxa"/>
            <w:vMerge w:val="restart"/>
          </w:tcPr>
          <w:p w:rsidR="00C53DF1" w:rsidRDefault="002754D0">
            <w:r>
              <w:rPr>
                <w:sz w:val="24"/>
                <w:szCs w:val="24"/>
              </w:rPr>
              <w:t xml:space="preserve"> Miloš Milosavljević</w:t>
            </w:r>
          </w:p>
        </w:tc>
      </w:tr>
      <w:tr w:rsidR="00C53DF1">
        <w:trPr>
          <w:trHeight w:val="221"/>
        </w:trPr>
        <w:tc>
          <w:tcPr>
            <w:tcW w:w="1258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Candidiasis (clinical problem)</w:t>
            </w:r>
          </w:p>
        </w:tc>
        <w:tc>
          <w:tcPr>
            <w:tcW w:w="4329" w:type="dxa"/>
            <w:vMerge/>
          </w:tcPr>
          <w:p w:rsidR="00C53DF1" w:rsidRDefault="00C53DF1">
            <w:pPr>
              <w:ind w:left="110"/>
              <w:rPr>
                <w:sz w:val="24"/>
                <w:szCs w:val="24"/>
              </w:rPr>
            </w:pPr>
          </w:p>
        </w:tc>
      </w:tr>
      <w:tr w:rsidR="00C53DF1">
        <w:trPr>
          <w:trHeight w:val="623"/>
        </w:trPr>
        <w:tc>
          <w:tcPr>
            <w:tcW w:w="1258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C53DF1">
            <w:pPr>
              <w:pStyle w:val="TableParagraph"/>
              <w:rPr>
                <w:b/>
                <w:sz w:val="24"/>
                <w:szCs w:val="24"/>
              </w:rPr>
            </w:pPr>
          </w:p>
          <w:p w:rsidR="00C53DF1" w:rsidRDefault="002754D0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 w:right="25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Medicines against helminths</w:t>
            </w:r>
          </w:p>
          <w:p w:rsidR="00C53DF1" w:rsidRDefault="002754D0">
            <w:pPr>
              <w:pStyle w:val="TableParagraph"/>
              <w:ind w:left="109" w:right="25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Drugs against protozoa and ectoparasites</w:t>
            </w:r>
          </w:p>
        </w:tc>
        <w:tc>
          <w:tcPr>
            <w:tcW w:w="4329" w:type="dxa"/>
            <w:vMerge w:val="restart"/>
          </w:tcPr>
          <w:p w:rsidR="00C53DF1" w:rsidRDefault="002754D0">
            <w:r>
              <w:rPr>
                <w:sz w:val="24"/>
                <w:szCs w:val="24"/>
              </w:rPr>
              <w:t xml:space="preserve"> Miloš Milosavljević</w:t>
            </w:r>
          </w:p>
        </w:tc>
      </w:tr>
      <w:tr w:rsidR="00C53DF1">
        <w:trPr>
          <w:trHeight w:val="136"/>
        </w:trPr>
        <w:tc>
          <w:tcPr>
            <w:tcW w:w="1258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C53DF1" w:rsidRDefault="00C53DF1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C53DF1" w:rsidRDefault="002754D0">
            <w:pPr>
              <w:pStyle w:val="TableParagraph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793" w:type="dxa"/>
          </w:tcPr>
          <w:p w:rsidR="00C53DF1" w:rsidRDefault="002754D0">
            <w:pPr>
              <w:pStyle w:val="TableParagraph"/>
              <w:ind w:left="109" w:right="28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Amebiasis (clinical problem)</w:t>
            </w:r>
          </w:p>
        </w:tc>
        <w:tc>
          <w:tcPr>
            <w:tcW w:w="4329" w:type="dxa"/>
            <w:vMerge/>
          </w:tcPr>
          <w:p w:rsidR="00C53DF1" w:rsidRDefault="00C53DF1"/>
        </w:tc>
      </w:tr>
    </w:tbl>
    <w:p w:rsidR="00C53DF1" w:rsidRDefault="002754D0">
      <w:pPr>
        <w:ind w:left="142"/>
      </w:pPr>
      <w:r>
        <w:t>L-lectures; P – Practical classes</w:t>
      </w:r>
    </w:p>
    <w:sectPr w:rsidR="00C53DF1">
      <w:pgSz w:w="16850" w:h="11910" w:orient="landscape"/>
      <w:pgMar w:top="1140" w:right="34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DF1" w:rsidRDefault="002754D0">
      <w:r>
        <w:separator/>
      </w:r>
    </w:p>
  </w:endnote>
  <w:endnote w:type="continuationSeparator" w:id="0">
    <w:p w:rsidR="00C53DF1" w:rsidRDefault="0027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DF1" w:rsidRDefault="002754D0">
      <w:r>
        <w:separator/>
      </w:r>
    </w:p>
  </w:footnote>
  <w:footnote w:type="continuationSeparator" w:id="0">
    <w:p w:rsidR="00C53DF1" w:rsidRDefault="00275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0240E"/>
    <w:multiLevelType w:val="hybridMultilevel"/>
    <w:tmpl w:val="8BCEF0C0"/>
    <w:lvl w:ilvl="0" w:tplc="04090017">
      <w:start w:val="1"/>
      <w:numFmt w:val="lowerLetter"/>
      <w:lvlText w:val="%1)"/>
      <w:lvlJc w:val="left"/>
      <w:pPr>
        <w:ind w:left="1115" w:hanging="360"/>
      </w:pPr>
    </w:lvl>
    <w:lvl w:ilvl="1" w:tplc="E57ED248">
      <w:start w:val="1"/>
      <w:numFmt w:val="bullet"/>
      <w:lvlText w:val=""/>
      <w:lvlJc w:val="left"/>
      <w:pPr>
        <w:ind w:left="183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1" w15:restartNumberingAfterBreak="0">
    <w:nsid w:val="63EB7DBA"/>
    <w:multiLevelType w:val="hybridMultilevel"/>
    <w:tmpl w:val="481E176A"/>
    <w:lvl w:ilvl="0" w:tplc="9C4A5390">
      <w:numFmt w:val="bullet"/>
      <w:lvlText w:val=""/>
      <w:lvlJc w:val="left"/>
      <w:pPr>
        <w:ind w:left="1115" w:hanging="29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268C36CC">
      <w:numFmt w:val="bullet"/>
      <w:lvlText w:val="•"/>
      <w:lvlJc w:val="left"/>
      <w:pPr>
        <w:ind w:left="2066" w:hanging="296"/>
      </w:pPr>
      <w:rPr>
        <w:rFonts w:hint="default"/>
        <w:lang w:eastAsia="en-US" w:bidi="ar-SA"/>
      </w:rPr>
    </w:lvl>
    <w:lvl w:ilvl="2" w:tplc="B1F81DF8">
      <w:numFmt w:val="bullet"/>
      <w:lvlText w:val="•"/>
      <w:lvlJc w:val="left"/>
      <w:pPr>
        <w:ind w:left="3013" w:hanging="296"/>
      </w:pPr>
      <w:rPr>
        <w:rFonts w:hint="default"/>
        <w:lang w:eastAsia="en-US" w:bidi="ar-SA"/>
      </w:rPr>
    </w:lvl>
    <w:lvl w:ilvl="3" w:tplc="33F00F82">
      <w:numFmt w:val="bullet"/>
      <w:lvlText w:val="•"/>
      <w:lvlJc w:val="left"/>
      <w:pPr>
        <w:ind w:left="3959" w:hanging="296"/>
      </w:pPr>
      <w:rPr>
        <w:rFonts w:hint="default"/>
        <w:lang w:eastAsia="en-US" w:bidi="ar-SA"/>
      </w:rPr>
    </w:lvl>
    <w:lvl w:ilvl="4" w:tplc="517C6826">
      <w:numFmt w:val="bullet"/>
      <w:lvlText w:val="•"/>
      <w:lvlJc w:val="left"/>
      <w:pPr>
        <w:ind w:left="4906" w:hanging="296"/>
      </w:pPr>
      <w:rPr>
        <w:rFonts w:hint="default"/>
        <w:lang w:eastAsia="en-US" w:bidi="ar-SA"/>
      </w:rPr>
    </w:lvl>
    <w:lvl w:ilvl="5" w:tplc="E228BF2E">
      <w:numFmt w:val="bullet"/>
      <w:lvlText w:val="•"/>
      <w:lvlJc w:val="left"/>
      <w:pPr>
        <w:ind w:left="5853" w:hanging="296"/>
      </w:pPr>
      <w:rPr>
        <w:rFonts w:hint="default"/>
        <w:lang w:eastAsia="en-US" w:bidi="ar-SA"/>
      </w:rPr>
    </w:lvl>
    <w:lvl w:ilvl="6" w:tplc="F8DEFEA2">
      <w:numFmt w:val="bullet"/>
      <w:lvlText w:val="•"/>
      <w:lvlJc w:val="left"/>
      <w:pPr>
        <w:ind w:left="6799" w:hanging="296"/>
      </w:pPr>
      <w:rPr>
        <w:rFonts w:hint="default"/>
        <w:lang w:eastAsia="en-US" w:bidi="ar-SA"/>
      </w:rPr>
    </w:lvl>
    <w:lvl w:ilvl="7" w:tplc="4BCAEB9A">
      <w:numFmt w:val="bullet"/>
      <w:lvlText w:val="•"/>
      <w:lvlJc w:val="left"/>
      <w:pPr>
        <w:ind w:left="7746" w:hanging="296"/>
      </w:pPr>
      <w:rPr>
        <w:rFonts w:hint="default"/>
        <w:lang w:eastAsia="en-US" w:bidi="ar-SA"/>
      </w:rPr>
    </w:lvl>
    <w:lvl w:ilvl="8" w:tplc="0520E2C0">
      <w:numFmt w:val="bullet"/>
      <w:lvlText w:val="•"/>
      <w:lvlJc w:val="left"/>
      <w:pPr>
        <w:ind w:left="8693" w:hanging="296"/>
      </w:pPr>
      <w:rPr>
        <w:rFonts w:hint="default"/>
        <w:lang w:eastAsia="en-US" w:bidi="ar-SA"/>
      </w:rPr>
    </w:lvl>
  </w:abstractNum>
  <w:abstractNum w:abstractNumId="2" w15:restartNumberingAfterBreak="0">
    <w:nsid w:val="7FDA1E02"/>
    <w:multiLevelType w:val="hybridMultilevel"/>
    <w:tmpl w:val="CD60530E"/>
    <w:lvl w:ilvl="0" w:tplc="C11CF936">
      <w:numFmt w:val="bullet"/>
      <w:lvlText w:val=""/>
      <w:lvlJc w:val="left"/>
      <w:pPr>
        <w:ind w:left="820" w:hanging="42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590CBDEA">
      <w:numFmt w:val="bullet"/>
      <w:lvlText w:val="•"/>
      <w:lvlJc w:val="left"/>
      <w:pPr>
        <w:ind w:left="1796" w:hanging="426"/>
      </w:pPr>
      <w:rPr>
        <w:rFonts w:hint="default"/>
        <w:lang w:eastAsia="en-US" w:bidi="ar-SA"/>
      </w:rPr>
    </w:lvl>
    <w:lvl w:ilvl="2" w:tplc="730606FA">
      <w:numFmt w:val="bullet"/>
      <w:lvlText w:val="•"/>
      <w:lvlJc w:val="left"/>
      <w:pPr>
        <w:ind w:left="2773" w:hanging="426"/>
      </w:pPr>
      <w:rPr>
        <w:rFonts w:hint="default"/>
        <w:lang w:eastAsia="en-US" w:bidi="ar-SA"/>
      </w:rPr>
    </w:lvl>
    <w:lvl w:ilvl="3" w:tplc="FC025F10">
      <w:numFmt w:val="bullet"/>
      <w:lvlText w:val="•"/>
      <w:lvlJc w:val="left"/>
      <w:pPr>
        <w:ind w:left="3749" w:hanging="426"/>
      </w:pPr>
      <w:rPr>
        <w:rFonts w:hint="default"/>
        <w:lang w:eastAsia="en-US" w:bidi="ar-SA"/>
      </w:rPr>
    </w:lvl>
    <w:lvl w:ilvl="4" w:tplc="72BE5314">
      <w:numFmt w:val="bullet"/>
      <w:lvlText w:val="•"/>
      <w:lvlJc w:val="left"/>
      <w:pPr>
        <w:ind w:left="4726" w:hanging="426"/>
      </w:pPr>
      <w:rPr>
        <w:rFonts w:hint="default"/>
        <w:lang w:eastAsia="en-US" w:bidi="ar-SA"/>
      </w:rPr>
    </w:lvl>
    <w:lvl w:ilvl="5" w:tplc="9FD4FA7C">
      <w:numFmt w:val="bullet"/>
      <w:lvlText w:val="•"/>
      <w:lvlJc w:val="left"/>
      <w:pPr>
        <w:ind w:left="5703" w:hanging="426"/>
      </w:pPr>
      <w:rPr>
        <w:rFonts w:hint="default"/>
        <w:lang w:eastAsia="en-US" w:bidi="ar-SA"/>
      </w:rPr>
    </w:lvl>
    <w:lvl w:ilvl="6" w:tplc="12EC701E">
      <w:numFmt w:val="bullet"/>
      <w:lvlText w:val="•"/>
      <w:lvlJc w:val="left"/>
      <w:pPr>
        <w:ind w:left="6679" w:hanging="426"/>
      </w:pPr>
      <w:rPr>
        <w:rFonts w:hint="default"/>
        <w:lang w:eastAsia="en-US" w:bidi="ar-SA"/>
      </w:rPr>
    </w:lvl>
    <w:lvl w:ilvl="7" w:tplc="CF129216">
      <w:numFmt w:val="bullet"/>
      <w:lvlText w:val="•"/>
      <w:lvlJc w:val="left"/>
      <w:pPr>
        <w:ind w:left="7656" w:hanging="426"/>
      </w:pPr>
      <w:rPr>
        <w:rFonts w:hint="default"/>
        <w:lang w:eastAsia="en-US" w:bidi="ar-SA"/>
      </w:rPr>
    </w:lvl>
    <w:lvl w:ilvl="8" w:tplc="EAD24372">
      <w:numFmt w:val="bullet"/>
      <w:lvlText w:val="•"/>
      <w:lvlJc w:val="left"/>
      <w:pPr>
        <w:ind w:left="8633" w:hanging="426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DF1"/>
    <w:rsid w:val="002754D0"/>
    <w:rsid w:val="00C5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59E5D5-1AB9-497C-9942-082500D2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2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038" w:lineRule="exact"/>
      <w:ind w:left="20"/>
    </w:pPr>
    <w:rPr>
      <w:b/>
      <w:bCs/>
      <w:sz w:val="92"/>
      <w:szCs w:val="92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1115" w:hanging="296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</w:rPr>
  </w:style>
  <w:style w:type="character" w:customStyle="1" w:styleId="c4z29wjxl">
    <w:name w:val="c4_z29wjxl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1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losavljevicmilos91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dica_zivkovic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rina2006kg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apejcic201502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FC324-19A9-4A23-97DB-9DDF900E9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Radic</dc:creator>
  <cp:lastModifiedBy>Gordana Radic</cp:lastModifiedBy>
  <cp:revision>2</cp:revision>
  <dcterms:created xsi:type="dcterms:W3CDTF">2026-09-19T12:53:00Z</dcterms:created>
  <dcterms:modified xsi:type="dcterms:W3CDTF">2026-09-19T12:53:00Z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2023-02-05T00:00:00Z</vt:filetime>
  </property>
  <property fmtid="{D5CDD505-2E9C-101B-9397-08002B2CF9AE}" pid="5" name="Producer">
    <vt:lpwstr>Microsoft® Office Word 2007</vt:lpwstr>
  </property>
</Properties>
</file>